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header6.xml" ContentType="application/vnd.openxmlformats-officedocument.wordprocessingml.header+xml"/>
  <Override PartName="/word/footer6.xml" ContentType="application/vnd.openxmlformats-officedocument.wordprocessingml.footer+xml"/>
  <Override PartName="/word/charts/chart65.xml" ContentType="application/vnd.openxmlformats-officedocument.drawingml.chart+xml"/>
  <Override PartName="/word/charts/chart66.xml" ContentType="application/vnd.openxmlformats-officedocument.drawingml.chart+xml"/>
  <Override PartName="/word/header7.xml" ContentType="application/vnd.openxmlformats-officedocument.wordprocessingml.header+xml"/>
  <Override PartName="/word/footer7.xml" ContentType="application/vnd.openxmlformats-officedocument.wordprocessingml.footer+xml"/>
  <Override PartName="/word/charts/chart67.xml" ContentType="application/vnd.openxmlformats-officedocument.drawingml.chart+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5FA" w:rsidRDefault="00887D84">
      <w:pPr>
        <w:rPr>
          <w:rFonts w:ascii="Times New Roman" w:hAnsi="Times New Roman" w:cs="Times New Roman"/>
        </w:rPr>
      </w:pPr>
      <w:r>
        <w:rPr>
          <w:rFonts w:ascii="Times New Roman" w:hAnsi="Times New Roman" w:cs="Times New Roman"/>
          <w:noProof/>
          <w:lang w:eastAsia="pl-PL"/>
        </w:rPr>
        <mc:AlternateContent>
          <mc:Choice Requires="wps">
            <w:drawing>
              <wp:anchor distT="0" distB="0" distL="0" distR="0" simplePos="0" relativeHeight="2" behindDoc="0" locked="0" layoutInCell="1" allowOverlap="1" wp14:anchorId="64519FD4">
                <wp:simplePos x="0" y="0"/>
                <wp:positionH relativeFrom="page">
                  <wp:align>center</wp:align>
                </wp:positionH>
                <wp:positionV relativeFrom="page">
                  <wp:align>center</wp:align>
                </wp:positionV>
                <wp:extent cx="7279640" cy="8375650"/>
                <wp:effectExtent l="0" t="0" r="1270" b="0"/>
                <wp:wrapNone/>
                <wp:docPr id="1" name="Pole tekstowe 138"/>
                <wp:cNvGraphicFramePr/>
                <a:graphic xmlns:a="http://schemas.openxmlformats.org/drawingml/2006/main">
                  <a:graphicData uri="http://schemas.microsoft.com/office/word/2010/wordprocessingShape">
                    <wps:wsp>
                      <wps:cNvSpPr/>
                      <wps:spPr>
                        <a:xfrm>
                          <a:off x="0" y="0"/>
                          <a:ext cx="7278840" cy="837504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tbl>
                            <w:tblPr>
                              <w:tblW w:w="5000" w:type="pct"/>
                              <w:jc w:val="center"/>
                              <w:tblCellMar>
                                <w:top w:w="1296" w:type="dxa"/>
                                <w:left w:w="360" w:type="dxa"/>
                                <w:bottom w:w="1296" w:type="dxa"/>
                                <w:right w:w="360" w:type="dxa"/>
                              </w:tblCellMar>
                              <w:tblLook w:val="04A0" w:firstRow="1" w:lastRow="0" w:firstColumn="1" w:lastColumn="0" w:noHBand="0" w:noVBand="1"/>
                            </w:tblPr>
                            <w:tblGrid>
                              <w:gridCol w:w="9441"/>
                              <w:gridCol w:w="2474"/>
                            </w:tblGrid>
                            <w:tr w:rsidR="00DC75FA">
                              <w:trPr>
                                <w:jc w:val="center"/>
                              </w:trPr>
                              <w:tc>
                                <w:tcPr>
                                  <w:tcW w:w="9083" w:type="dxa"/>
                                  <w:tcBorders>
                                    <w:right w:val="single" w:sz="12" w:space="0" w:color="ED7D31"/>
                                  </w:tcBorders>
                                  <w:shd w:val="clear" w:color="auto" w:fill="auto"/>
                                  <w:vAlign w:val="center"/>
                                </w:tcPr>
                                <w:sdt>
                                  <w:sdtPr>
                                    <w:id w:val="1724795213"/>
                                  </w:sdtPr>
                                  <w:sdtEndPr/>
                                  <w:sdtContent>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DC75FA" w:rsidRDefault="00A47575">
                                      <w:pPr>
                                        <w:pStyle w:val="Zawartoramki"/>
                                        <w:jc w:val="right"/>
                                      </w:pPr>
                                    </w:p>
                                  </w:sdtContent>
                                </w:sdt>
                                <w:sdt>
                                  <w:sdtPr>
                                    <w:alias w:val="Tytuł"/>
                                    <w:id w:val="1406698901"/>
                                    <w:dataBinding w:prefixMappings="xmlns:ns0='http://purl.org/dc/elements/1.1/' xmlns:ns1='http://schemas.openxmlformats.org/package/2006/metadata/core-properties' " w:xpath="/ns1:coreProperties[1]/ns0:title[1]" w:storeItemID="{6C3C8BC8-F283-45AE-878A-BAB7291924A1}"/>
                                    <w:text/>
                                  </w:sdtPr>
                                  <w:sdtEndPr/>
                                  <w:sdtContent>
                                    <w:p w:rsidR="00DC75FA" w:rsidRDefault="00887D84">
                                      <w:pPr>
                                        <w:pStyle w:val="Bezodstpw"/>
                                        <w:spacing w:line="312" w:lineRule="auto"/>
                                        <w:ind w:left="3318"/>
                                        <w:jc w:val="right"/>
                                        <w:rPr>
                                          <w:caps/>
                                          <w:color w:val="191919" w:themeColor="text1" w:themeTint="E6"/>
                                          <w:sz w:val="72"/>
                                          <w:szCs w:val="72"/>
                                        </w:rPr>
                                      </w:pPr>
                                      <w:r>
                                        <w:rPr>
                                          <w:rFonts w:ascii="Times New Roman" w:hAnsi="Times New Roman" w:cs="Times New Roman"/>
                                          <w:caps/>
                                          <w:color w:val="191919" w:themeColor="text1" w:themeTint="E6"/>
                                          <w:sz w:val="36"/>
                                          <w:szCs w:val="36"/>
                                        </w:rPr>
                                        <w:t>ZIELONE ZAGŁĘBIE - STRATEGIA ROZWOJU PONADLOKALNEGO NA LATA 2021-2027, z perspektywą do 2035 roku</w:t>
                                      </w:r>
                                    </w:p>
                                  </w:sdtContent>
                                </w:sdt>
                                <w:sdt>
                                  <w:sdtPr>
                                    <w:alias w:val="Podtytuł"/>
                                    <w:id w:val="1242249598"/>
                                    <w:showingPlcHdr/>
                                    <w:dataBinding w:prefixMappings="xmlns:ns0='http://purl.org/dc/elements/1.1/' xmlns:ns1='http://schemas.openxmlformats.org/package/2006/metadata/core-properties' " w:xpath="/ns1:coreProperties[1]/ns0:subject[1]" w:storeItemID="{6C3C8BC8-F283-45AE-878A-BAB7291924A1}"/>
                                    <w:text/>
                                  </w:sdtPr>
                                  <w:sdtEndPr/>
                                  <w:sdtContent>
                                    <w:p w:rsidR="00DC75FA" w:rsidRDefault="0085007C">
                                      <w:pPr>
                                        <w:pStyle w:val="Zawartoramki"/>
                                        <w:jc w:val="right"/>
                                        <w:rPr>
                                          <w:sz w:val="24"/>
                                          <w:szCs w:val="24"/>
                                        </w:rPr>
                                      </w:pPr>
                                      <w:r>
                                        <w:t xml:space="preserve">     </w:t>
                                      </w:r>
                                    </w:p>
                                  </w:sdtContent>
                                </w:sdt>
                              </w:tc>
                              <w:tc>
                                <w:tcPr>
                                  <w:tcW w:w="2380" w:type="dxa"/>
                                  <w:tcBorders>
                                    <w:left w:val="single" w:sz="12" w:space="0" w:color="ED7D31"/>
                                  </w:tcBorders>
                                  <w:shd w:val="clear" w:color="auto" w:fill="auto"/>
                                  <w:vAlign w:val="center"/>
                                </w:tcPr>
                                <w:p w:rsidR="00DC75FA" w:rsidRDefault="00DC75FA">
                                  <w:pPr>
                                    <w:pStyle w:val="Zawartoramki"/>
                                    <w:ind w:left="66" w:firstLine="1276"/>
                                  </w:pPr>
                                </w:p>
                              </w:tc>
                            </w:tr>
                          </w:tbl>
                          <w:p w:rsidR="00DC75FA" w:rsidRDefault="00DC75FA">
                            <w:pPr>
                              <w:pStyle w:val="Zawartoramki"/>
                              <w:rPr>
                                <w:color w:val="000000"/>
                              </w:rPr>
                            </w:pPr>
                          </w:p>
                        </w:txbxContent>
                      </wps:txbx>
                      <wps:bodyPr lIns="0" tIns="0" rIns="0" bIns="0" anchor="ctr">
                        <a:prstTxWarp prst="textNoShape">
                          <a:avLst/>
                        </a:prstTxWarp>
                        <a:noAutofit/>
                      </wps:bodyPr>
                    </wps:wsp>
                  </a:graphicData>
                </a:graphic>
                <wp14:sizeRelH relativeFrom="page">
                  <wp14:pctWidth>94000</wp14:pctWidth>
                </wp14:sizeRelH>
                <wp14:sizeRelV relativeFrom="page">
                  <wp14:pctHeight>77000</wp14:pctHeight>
                </wp14:sizeRelV>
              </wp:anchor>
            </w:drawing>
          </mc:Choice>
          <mc:Fallback>
            <w:pict>
              <v:rect id="Pole tekstowe 138" o:spid="_x0000_s1026" style="position:absolute;margin-left:0;margin-top:0;width:573.2pt;height:659.5pt;z-index:2;visibility:visible;mso-wrap-style:square;mso-width-percent:940;mso-height-percent:770;mso-wrap-distance-left:0;mso-wrap-distance-top:0;mso-wrap-distance-right:0;mso-wrap-distance-bottom:0;mso-position-horizontal:center;mso-position-horizontal-relative:page;mso-position-vertical:center;mso-position-vertical-relative:page;mso-width-percent:940;mso-height-percent:77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" fillcolor="white [3201]" stroked="f" strokeweight=".18mm">
                <v:textbox inset="0,0,0,0">
                  <w:txbxContent>
                    <w:tbl>
                      <w:tblPr>
                        <w:tblW w:w="5000" w:type="pct"/>
                        <w:jc w:val="center"/>
                        <w:tblCellMar>
                          <w:top w:w="1296" w:type="dxa"/>
                          <w:left w:w="360" w:type="dxa"/>
                          <w:bottom w:w="1296" w:type="dxa"/>
                          <w:right w:w="360" w:type="dxa"/>
                        </w:tblCellMar>
                        <w:tblLook w:val="04A0" w:firstRow="1" w:lastRow="0" w:firstColumn="1" w:lastColumn="0" w:noHBand="0" w:noVBand="1"/>
                      </w:tblPr>
                      <w:tblGrid>
                        <w:gridCol w:w="9441"/>
                        <w:gridCol w:w="2474"/>
                      </w:tblGrid>
                      <w:tr w:rsidR="00DC75FA">
                        <w:trPr>
                          <w:jc w:val="center"/>
                        </w:trPr>
                        <w:tc>
                          <w:tcPr>
                            <w:tcW w:w="9083" w:type="dxa"/>
                            <w:tcBorders>
                              <w:right w:val="single" w:sz="12" w:space="0" w:color="ED7D31"/>
                            </w:tcBorders>
                            <w:shd w:val="clear" w:color="auto" w:fill="auto"/>
                            <w:vAlign w:val="center"/>
                          </w:tcPr>
                          <w:sdt>
                            <w:sdtPr>
                              <w:id w:val="1724795213"/>
                            </w:sdtPr>
                            <w:sdtEndPr/>
                            <w:sdtContent>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A47575" w:rsidRDefault="00A47575">
                                <w:pPr>
                                  <w:pStyle w:val="Zawartoramki"/>
                                  <w:jc w:val="right"/>
                                  <w:rPr>
                                    <w:noProof/>
                                    <w:lang w:eastAsia="pl-PL"/>
                                  </w:rPr>
                                </w:pPr>
                              </w:p>
                              <w:p w:rsidR="00DC75FA" w:rsidRDefault="00A47575">
                                <w:pPr>
                                  <w:pStyle w:val="Zawartoramki"/>
                                  <w:jc w:val="right"/>
                                </w:pPr>
                              </w:p>
                            </w:sdtContent>
                          </w:sdt>
                          <w:sdt>
                            <w:sdtPr>
                              <w:alias w:val="Tytuł"/>
                              <w:id w:val="1406698901"/>
                              <w:dataBinding w:prefixMappings="xmlns:ns0='http://purl.org/dc/elements/1.1/' xmlns:ns1='http://schemas.openxmlformats.org/package/2006/metadata/core-properties' " w:xpath="/ns1:coreProperties[1]/ns0:title[1]" w:storeItemID="{6C3C8BC8-F283-45AE-878A-BAB7291924A1}"/>
                              <w:text/>
                            </w:sdtPr>
                            <w:sdtEndPr/>
                            <w:sdtContent>
                              <w:p w:rsidR="00DC75FA" w:rsidRDefault="00887D84">
                                <w:pPr>
                                  <w:pStyle w:val="Bezodstpw"/>
                                  <w:spacing w:line="312" w:lineRule="auto"/>
                                  <w:ind w:left="3318"/>
                                  <w:jc w:val="right"/>
                                  <w:rPr>
                                    <w:caps/>
                                    <w:color w:val="191919" w:themeColor="text1" w:themeTint="E6"/>
                                    <w:sz w:val="72"/>
                                    <w:szCs w:val="72"/>
                                  </w:rPr>
                                </w:pPr>
                                <w:r>
                                  <w:rPr>
                                    <w:rFonts w:ascii="Times New Roman" w:hAnsi="Times New Roman" w:cs="Times New Roman"/>
                                    <w:caps/>
                                    <w:color w:val="191919" w:themeColor="text1" w:themeTint="E6"/>
                                    <w:sz w:val="36"/>
                                    <w:szCs w:val="36"/>
                                  </w:rPr>
                                  <w:t>ZIELONE ZAGŁĘBIE - STRATEGIA ROZWOJU PONADLOKALNEGO NA LATA 2021-2027, z perspektywą do 2035 roku</w:t>
                                </w:r>
                              </w:p>
                            </w:sdtContent>
                          </w:sdt>
                          <w:sdt>
                            <w:sdtPr>
                              <w:alias w:val="Podtytuł"/>
                              <w:id w:val="1242249598"/>
                              <w:showingPlcHdr/>
                              <w:dataBinding w:prefixMappings="xmlns:ns0='http://purl.org/dc/elements/1.1/' xmlns:ns1='http://schemas.openxmlformats.org/package/2006/metadata/core-properties' " w:xpath="/ns1:coreProperties[1]/ns0:subject[1]" w:storeItemID="{6C3C8BC8-F283-45AE-878A-BAB7291924A1}"/>
                              <w:text/>
                            </w:sdtPr>
                            <w:sdtEndPr/>
                            <w:sdtContent>
                              <w:p w:rsidR="00DC75FA" w:rsidRDefault="0085007C">
                                <w:pPr>
                                  <w:pStyle w:val="Zawartoramki"/>
                                  <w:jc w:val="right"/>
                                  <w:rPr>
                                    <w:sz w:val="24"/>
                                    <w:szCs w:val="24"/>
                                  </w:rPr>
                                </w:pPr>
                                <w:r>
                                  <w:t xml:space="preserve">     </w:t>
                                </w:r>
                              </w:p>
                            </w:sdtContent>
                          </w:sdt>
                        </w:tc>
                        <w:tc>
                          <w:tcPr>
                            <w:tcW w:w="2380" w:type="dxa"/>
                            <w:tcBorders>
                              <w:left w:val="single" w:sz="12" w:space="0" w:color="ED7D31"/>
                            </w:tcBorders>
                            <w:shd w:val="clear" w:color="auto" w:fill="auto"/>
                            <w:vAlign w:val="center"/>
                          </w:tcPr>
                          <w:p w:rsidR="00DC75FA" w:rsidRDefault="00DC75FA">
                            <w:pPr>
                              <w:pStyle w:val="Zawartoramki"/>
                              <w:ind w:left="66" w:firstLine="1276"/>
                            </w:pPr>
                          </w:p>
                        </w:tc>
                      </w:tr>
                    </w:tbl>
                    <w:p w:rsidR="00DC75FA" w:rsidRDefault="00DC75FA">
                      <w:pPr>
                        <w:pStyle w:val="Zawartoramki"/>
                        <w:rPr>
                          <w:color w:val="000000"/>
                        </w:rPr>
                      </w:pPr>
                    </w:p>
                  </w:txbxContent>
                </v:textbox>
                <w10:wrap anchorx="page" anchory="page"/>
              </v:rect>
            </w:pict>
          </mc:Fallback>
        </mc:AlternateContent>
      </w:r>
      <w:r>
        <w:rPr>
          <w:rFonts w:ascii="Times New Roman" w:hAnsi="Times New Roman" w:cs="Times New Roman"/>
          <w:noProof/>
          <w:lang w:eastAsia="pl-PL"/>
        </w:rPr>
        <mc:AlternateContent>
          <mc:Choice Requires="wps">
            <w:drawing>
              <wp:anchor distT="45720" distB="45720" distL="114300" distR="114300" simplePos="0" relativeHeight="6" behindDoc="0" locked="0" layoutInCell="1" allowOverlap="1" wp14:anchorId="18652E03">
                <wp:simplePos x="0" y="0"/>
                <wp:positionH relativeFrom="column">
                  <wp:posOffset>4196715</wp:posOffset>
                </wp:positionH>
                <wp:positionV relativeFrom="paragraph">
                  <wp:posOffset>22225</wp:posOffset>
                </wp:positionV>
                <wp:extent cx="2484120" cy="1211580"/>
                <wp:effectExtent l="0" t="0" r="0" b="0"/>
                <wp:wrapSquare wrapText="bothSides"/>
                <wp:docPr id="5" name="Pole tekstowe 2"/>
                <wp:cNvGraphicFramePr/>
                <a:graphic xmlns:a="http://schemas.openxmlformats.org/drawingml/2006/main">
                  <a:graphicData uri="http://schemas.microsoft.com/office/word/2010/wordprocessingShape">
                    <wps:wsp>
                      <wps:cNvSpPr/>
                      <wps:spPr>
                        <a:xfrm>
                          <a:off x="0" y="0"/>
                          <a:ext cx="2483640" cy="12110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DC75FA" w:rsidRDefault="00887D84">
                            <w:pPr>
                              <w:pStyle w:val="Zawartoramki"/>
                            </w:pPr>
                            <w:r>
                              <w:t>Załącznik nr 1</w:t>
                            </w:r>
                          </w:p>
                          <w:p w:rsidR="00DC75FA" w:rsidRDefault="00887D84">
                            <w:pPr>
                              <w:pStyle w:val="Zawartoramki"/>
                            </w:pPr>
                            <w:r>
                              <w:t xml:space="preserve">do uchwały nr </w:t>
                            </w:r>
                            <w:r w:rsidR="00111592">
                              <w:t>XXXIV/306/22</w:t>
                            </w:r>
                          </w:p>
                          <w:p w:rsidR="00DC75FA" w:rsidRDefault="00887D84">
                            <w:pPr>
                              <w:pStyle w:val="Zawartoramki"/>
                            </w:pPr>
                            <w:r>
                              <w:t xml:space="preserve">Rady Gminy </w:t>
                            </w:r>
                            <w:r w:rsidR="0085007C">
                              <w:t>Cyców</w:t>
                            </w:r>
                          </w:p>
                          <w:p w:rsidR="00DC75FA" w:rsidRDefault="00887D84">
                            <w:pPr>
                              <w:pStyle w:val="Zawartoramki"/>
                            </w:pPr>
                            <w:r>
                              <w:t>z dnia</w:t>
                            </w:r>
                            <w:r w:rsidR="00111592">
                              <w:t xml:space="preserve"> 24 listopada 2022 r.</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Pole tekstowe 2" o:spid="_x0000_s1027" style="position:absolute;margin-left:330.45pt;margin-top:1.75pt;width:195.6pt;height:95.4pt;z-index: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" stroked="f" strokeweight=".26mm">
                <v:textbox style="mso-fit-shape-to-text:t">
                  <w:txbxContent>
                    <w:p w:rsidR="00DC75FA" w:rsidRDefault="00887D84">
                      <w:pPr>
                        <w:pStyle w:val="Zawartoramki"/>
                      </w:pPr>
                      <w:r>
                        <w:t>Załącznik nr 1</w:t>
                      </w:r>
                    </w:p>
                    <w:p w:rsidR="00DC75FA" w:rsidRDefault="00887D84">
                      <w:pPr>
                        <w:pStyle w:val="Zawartoramki"/>
                      </w:pPr>
                      <w:r>
                        <w:t xml:space="preserve">do uchwały nr </w:t>
                      </w:r>
                      <w:r w:rsidR="00111592">
                        <w:t>XXXIV/306/22</w:t>
                      </w:r>
                    </w:p>
                    <w:p w:rsidR="00DC75FA" w:rsidRDefault="00887D84">
                      <w:pPr>
                        <w:pStyle w:val="Zawartoramki"/>
                      </w:pPr>
                      <w:r>
                        <w:t xml:space="preserve">Rady Gminy </w:t>
                      </w:r>
                      <w:r w:rsidR="0085007C">
                        <w:t>Cyców</w:t>
                      </w:r>
                    </w:p>
                    <w:p w:rsidR="00DC75FA" w:rsidRDefault="00887D84">
                      <w:pPr>
                        <w:pStyle w:val="Zawartoramki"/>
                      </w:pPr>
                      <w:r>
                        <w:t>z dnia</w:t>
                      </w:r>
                      <w:r w:rsidR="00111592">
                        <w:t xml:space="preserve"> 24 listopada 2022 r.</w:t>
                      </w:r>
                    </w:p>
                  </w:txbxContent>
                </v:textbox>
                <w10:wrap type="square"/>
              </v:rect>
            </w:pict>
          </mc:Fallback>
        </mc:AlternateContent>
      </w:r>
    </w:p>
    <w:sdt>
      <w:sdtPr>
        <w:rPr>
          <w:rFonts w:asciiTheme="minorHAnsi" w:eastAsiaTheme="minorHAnsi" w:hAnsiTheme="minorHAnsi" w:cstheme="minorBidi"/>
          <w:color w:val="auto"/>
          <w:sz w:val="22"/>
          <w:szCs w:val="22"/>
          <w:lang w:eastAsia="en-US"/>
        </w:rPr>
        <w:id w:val="1257537603"/>
        <w:docPartObj>
          <w:docPartGallery w:val="Table of Contents"/>
          <w:docPartUnique/>
        </w:docPartObj>
      </w:sdtPr>
      <w:sdtEndPr/>
      <w:sdtContent>
        <w:p w:rsidR="00DC75FA" w:rsidRDefault="00887D84">
          <w:pPr>
            <w:pStyle w:val="Nagwekspisutreci"/>
            <w:rPr>
              <w:rFonts w:ascii="Times New Roman" w:eastAsiaTheme="minorHAnsi" w:hAnsi="Times New Roman" w:cs="Times New Roman"/>
              <w:color w:val="auto"/>
              <w:sz w:val="22"/>
              <w:szCs w:val="22"/>
              <w:lang w:eastAsia="en-US"/>
            </w:rPr>
          </w:pPr>
          <w:r>
            <w:br w:type="page"/>
          </w: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eastAsiaTheme="minorHAnsi" w:hAnsi="Times New Roman" w:cs="Times New Roman"/>
              <w:color w:val="auto"/>
              <w:sz w:val="22"/>
              <w:szCs w:val="22"/>
              <w:lang w:eastAsia="en-US"/>
            </w:rPr>
          </w:pPr>
        </w:p>
        <w:p w:rsidR="00DC75FA" w:rsidRDefault="00DC75FA">
          <w:pPr>
            <w:pStyle w:val="Nagwekspisutreci"/>
            <w:rPr>
              <w:rFonts w:ascii="Times New Roman" w:hAnsi="Times New Roman" w:cs="Times New Roman"/>
            </w:rPr>
          </w:pPr>
        </w:p>
        <w:p w:rsidR="00DC75FA" w:rsidRDefault="00DC75FA">
          <w:pPr>
            <w:pStyle w:val="Nagwekspisutreci"/>
            <w:rPr>
              <w:rFonts w:ascii="Times New Roman" w:hAnsi="Times New Roman" w:cs="Times New Roman"/>
            </w:rPr>
          </w:pPr>
        </w:p>
        <w:p w:rsidR="00DC75FA" w:rsidRDefault="00DC75FA">
          <w:pPr>
            <w:pStyle w:val="Nagwekspisutreci"/>
            <w:rPr>
              <w:rFonts w:ascii="Times New Roman" w:hAnsi="Times New Roman" w:cs="Times New Roman"/>
            </w:rPr>
          </w:pPr>
        </w:p>
        <w:p w:rsidR="00DC75FA" w:rsidRDefault="00DC75FA">
          <w:pPr>
            <w:pStyle w:val="Nagwekspisutreci"/>
            <w:rPr>
              <w:rFonts w:ascii="Times New Roman" w:hAnsi="Times New Roman" w:cs="Times New Roman"/>
            </w:rPr>
          </w:pPr>
        </w:p>
        <w:p w:rsidR="00DC75FA" w:rsidRDefault="00DC75FA">
          <w:pPr>
            <w:pStyle w:val="Nagwekspisutreci"/>
            <w:rPr>
              <w:rFonts w:ascii="Times New Roman" w:hAnsi="Times New Roman" w:cs="Times New Roman"/>
            </w:rPr>
          </w:pPr>
        </w:p>
        <w:p w:rsidR="00DC75FA" w:rsidRDefault="00DC75FA">
          <w:pPr>
            <w:pStyle w:val="Nagwekspisutreci"/>
            <w:rPr>
              <w:rFonts w:ascii="Times New Roman" w:hAnsi="Times New Roman" w:cs="Times New Roman"/>
            </w:rPr>
          </w:pPr>
        </w:p>
        <w:p w:rsidR="00DC75FA" w:rsidRDefault="00DC75FA">
          <w:pPr>
            <w:pStyle w:val="Nagwekspisutreci"/>
            <w:rPr>
              <w:rFonts w:ascii="Times New Roman" w:hAnsi="Times New Roman" w:cs="Times New Roman"/>
            </w:rPr>
          </w:pPr>
        </w:p>
        <w:p w:rsidR="00DC75FA" w:rsidRDefault="00887D84">
          <w:pPr>
            <w:pStyle w:val="Nagwekspisutreci"/>
            <w:rPr>
              <w:rFonts w:ascii="Times New Roman" w:hAnsi="Times New Roman" w:cs="Times New Roman"/>
            </w:rPr>
          </w:pPr>
          <w:r>
            <w:rPr>
              <w:rFonts w:ascii="Times New Roman" w:hAnsi="Times New Roman" w:cs="Times New Roman"/>
            </w:rPr>
            <w:lastRenderedPageBreak/>
            <w:t>Spis treści</w:t>
          </w:r>
        </w:p>
        <w:p w:rsidR="00DC75FA" w:rsidRDefault="00DC75FA">
          <w:pPr>
            <w:rPr>
              <w:rFonts w:ascii="Times New Roman" w:hAnsi="Times New Roman" w:cs="Times New Roman"/>
              <w:lang w:eastAsia="pl-PL"/>
            </w:rPr>
          </w:pPr>
        </w:p>
        <w:p w:rsidR="00DC75FA" w:rsidRDefault="00887D84">
          <w:pPr>
            <w:pStyle w:val="Spistreci1"/>
            <w:rPr>
              <w:rFonts w:eastAsiaTheme="minorEastAsia"/>
              <w:lang w:val="en-GB" w:eastAsia="en-GB"/>
            </w:rPr>
          </w:pPr>
          <w:r>
            <w:fldChar w:fldCharType="begin"/>
          </w:r>
          <w:r>
            <w:rPr>
              <w:rStyle w:val="czeindeksu"/>
              <w:webHidden/>
            </w:rPr>
            <w:instrText>TOC \z \o "1-3" \u \h</w:instrText>
          </w:r>
          <w:r>
            <w:rPr>
              <w:rStyle w:val="czeindeksu"/>
            </w:rPr>
            <w:fldChar w:fldCharType="separate"/>
          </w:r>
          <w:hyperlink w:anchor="_Toc105754686">
            <w:r>
              <w:rPr>
                <w:rStyle w:val="czeindeksu"/>
                <w:webHidden/>
              </w:rPr>
              <w:t>Wprowadzenie</w:t>
            </w:r>
            <w:r>
              <w:rPr>
                <w:webHidden/>
              </w:rPr>
              <w:fldChar w:fldCharType="begin"/>
            </w:r>
            <w:r>
              <w:rPr>
                <w:webHidden/>
              </w:rPr>
              <w:instrText>PAGEREF _Toc105754686 \h</w:instrText>
            </w:r>
            <w:r>
              <w:rPr>
                <w:webHidden/>
              </w:rPr>
            </w:r>
            <w:r>
              <w:rPr>
                <w:webHidden/>
              </w:rPr>
              <w:fldChar w:fldCharType="separate"/>
            </w:r>
            <w:r>
              <w:rPr>
                <w:rStyle w:val="czeindeksu"/>
              </w:rPr>
              <w:tab/>
              <w:t>1</w:t>
            </w:r>
            <w:r>
              <w:rPr>
                <w:webHidden/>
              </w:rPr>
              <w:fldChar w:fldCharType="end"/>
            </w:r>
          </w:hyperlink>
        </w:p>
        <w:p w:rsidR="00DC75FA" w:rsidRDefault="00A47575">
          <w:pPr>
            <w:pStyle w:val="Spistreci1"/>
            <w:rPr>
              <w:rFonts w:eastAsiaTheme="minorEastAsia"/>
              <w:lang w:val="en-GB" w:eastAsia="en-GB"/>
            </w:rPr>
          </w:pPr>
          <w:hyperlink w:anchor="_Toc105754687">
            <w:r w:rsidR="00887D84">
              <w:rPr>
                <w:rStyle w:val="czeindeksu"/>
                <w:webHidden/>
              </w:rPr>
              <w:t>1.</w:t>
            </w:r>
            <w:r w:rsidR="00887D84">
              <w:rPr>
                <w:rStyle w:val="czeindeksu"/>
                <w:rFonts w:eastAsiaTheme="minorEastAsia"/>
                <w:lang w:val="en-GB" w:eastAsia="en-GB"/>
              </w:rPr>
              <w:tab/>
            </w:r>
            <w:r w:rsidR="00887D84">
              <w:rPr>
                <w:rStyle w:val="czeindeksu"/>
              </w:rPr>
              <w:t>Przesłanki opracowania Strategii</w:t>
            </w:r>
            <w:r w:rsidR="00887D84">
              <w:rPr>
                <w:webHidden/>
              </w:rPr>
              <w:fldChar w:fldCharType="begin"/>
            </w:r>
            <w:r w:rsidR="00887D84">
              <w:rPr>
                <w:webHidden/>
              </w:rPr>
              <w:instrText>PAGEREF _Toc105754687 \h</w:instrText>
            </w:r>
            <w:r w:rsidR="00887D84">
              <w:rPr>
                <w:webHidden/>
              </w:rPr>
            </w:r>
            <w:r w:rsidR="00887D84">
              <w:rPr>
                <w:webHidden/>
              </w:rPr>
              <w:fldChar w:fldCharType="separate"/>
            </w:r>
            <w:r w:rsidR="00887D84">
              <w:rPr>
                <w:rStyle w:val="czeindeksu"/>
              </w:rPr>
              <w:tab/>
              <w:t>4</w:t>
            </w:r>
            <w:r w:rsidR="00887D84">
              <w:rPr>
                <w:webHidden/>
              </w:rPr>
              <w:fldChar w:fldCharType="end"/>
            </w:r>
          </w:hyperlink>
        </w:p>
        <w:p w:rsidR="00DC75FA" w:rsidRDefault="00A47575">
          <w:pPr>
            <w:pStyle w:val="Spistreci1"/>
            <w:rPr>
              <w:rFonts w:eastAsiaTheme="minorEastAsia"/>
              <w:lang w:val="en-GB" w:eastAsia="en-GB"/>
            </w:rPr>
          </w:pPr>
          <w:hyperlink w:anchor="_Toc105754688">
            <w:r w:rsidR="00887D84">
              <w:rPr>
                <w:rStyle w:val="czeindeksu"/>
                <w:webHidden/>
              </w:rPr>
              <w:t>2.</w:t>
            </w:r>
            <w:r w:rsidR="00887D84">
              <w:rPr>
                <w:rStyle w:val="czeindeksu"/>
                <w:rFonts w:eastAsiaTheme="minorEastAsia"/>
                <w:lang w:val="en-GB" w:eastAsia="en-GB"/>
              </w:rPr>
              <w:tab/>
            </w:r>
            <w:r w:rsidR="00887D84">
              <w:rPr>
                <w:rStyle w:val="czeindeksu"/>
              </w:rPr>
              <w:t>Zakres i metodyka opracowania strategii</w:t>
            </w:r>
            <w:r w:rsidR="00887D84">
              <w:rPr>
                <w:webHidden/>
              </w:rPr>
              <w:fldChar w:fldCharType="begin"/>
            </w:r>
            <w:r w:rsidR="00887D84">
              <w:rPr>
                <w:webHidden/>
              </w:rPr>
              <w:instrText>PAGEREF _Toc105754688 \h</w:instrText>
            </w:r>
            <w:r w:rsidR="00887D84">
              <w:rPr>
                <w:webHidden/>
              </w:rPr>
            </w:r>
            <w:r w:rsidR="00887D84">
              <w:rPr>
                <w:webHidden/>
              </w:rPr>
              <w:fldChar w:fldCharType="separate"/>
            </w:r>
            <w:r w:rsidR="00887D84">
              <w:rPr>
                <w:rStyle w:val="czeindeksu"/>
              </w:rPr>
              <w:tab/>
              <w:t>5</w:t>
            </w:r>
            <w:r w:rsidR="00887D84">
              <w:rPr>
                <w:webHidden/>
              </w:rPr>
              <w:fldChar w:fldCharType="end"/>
            </w:r>
          </w:hyperlink>
        </w:p>
        <w:p w:rsidR="00DC75FA" w:rsidRDefault="00A47575">
          <w:pPr>
            <w:pStyle w:val="Spistreci1"/>
            <w:rPr>
              <w:rFonts w:eastAsiaTheme="minorEastAsia"/>
              <w:lang w:val="en-GB" w:eastAsia="en-GB"/>
            </w:rPr>
          </w:pPr>
          <w:hyperlink w:anchor="_Toc105754689">
            <w:r w:rsidR="00887D84">
              <w:rPr>
                <w:rStyle w:val="czeindeksu"/>
                <w:webHidden/>
              </w:rPr>
              <w:t>3.</w:t>
            </w:r>
            <w:r w:rsidR="00887D84">
              <w:rPr>
                <w:rStyle w:val="czeindeksu"/>
                <w:rFonts w:eastAsiaTheme="minorEastAsia"/>
                <w:lang w:val="en-GB" w:eastAsia="en-GB"/>
              </w:rPr>
              <w:tab/>
            </w:r>
            <w:r w:rsidR="00887D84">
              <w:rPr>
                <w:rStyle w:val="czeindeksu"/>
              </w:rPr>
              <w:t>Wnioski z diagnozy</w:t>
            </w:r>
            <w:r w:rsidR="00887D84">
              <w:rPr>
                <w:webHidden/>
              </w:rPr>
              <w:fldChar w:fldCharType="begin"/>
            </w:r>
            <w:r w:rsidR="00887D84">
              <w:rPr>
                <w:webHidden/>
              </w:rPr>
              <w:instrText>PAGEREF _Toc105754689 \h</w:instrText>
            </w:r>
            <w:r w:rsidR="00887D84">
              <w:rPr>
                <w:webHidden/>
              </w:rPr>
            </w:r>
            <w:r w:rsidR="00887D84">
              <w:rPr>
                <w:webHidden/>
              </w:rPr>
              <w:fldChar w:fldCharType="separate"/>
            </w:r>
            <w:r w:rsidR="00887D84">
              <w:rPr>
                <w:rStyle w:val="czeindeksu"/>
              </w:rPr>
              <w:tab/>
              <w:t>9</w:t>
            </w:r>
            <w:r w:rsidR="00887D84">
              <w:rPr>
                <w:webHidden/>
              </w:rPr>
              <w:fldChar w:fldCharType="end"/>
            </w:r>
          </w:hyperlink>
        </w:p>
        <w:p w:rsidR="00DC75FA" w:rsidRDefault="00A47575">
          <w:pPr>
            <w:pStyle w:val="Spistreci1"/>
            <w:rPr>
              <w:rFonts w:eastAsiaTheme="minorEastAsia"/>
              <w:lang w:val="en-GB" w:eastAsia="en-GB"/>
            </w:rPr>
          </w:pPr>
          <w:hyperlink w:anchor="_Toc105754690">
            <w:r w:rsidR="00887D84">
              <w:rPr>
                <w:rStyle w:val="czeindeksu"/>
                <w:webHidden/>
              </w:rPr>
              <w:t>4.</w:t>
            </w:r>
            <w:r w:rsidR="00887D84">
              <w:rPr>
                <w:rStyle w:val="czeindeksu"/>
                <w:rFonts w:eastAsiaTheme="minorEastAsia"/>
                <w:lang w:val="en-GB" w:eastAsia="en-GB"/>
              </w:rPr>
              <w:tab/>
            </w:r>
            <w:r w:rsidR="00887D84">
              <w:rPr>
                <w:rStyle w:val="czeindeksu"/>
              </w:rPr>
              <w:t>Analiza SWOT</w:t>
            </w:r>
            <w:r w:rsidR="00887D84">
              <w:rPr>
                <w:webHidden/>
              </w:rPr>
              <w:fldChar w:fldCharType="begin"/>
            </w:r>
            <w:r w:rsidR="00887D84">
              <w:rPr>
                <w:webHidden/>
              </w:rPr>
              <w:instrText>PAGEREF _Toc105754690 \h</w:instrText>
            </w:r>
            <w:r w:rsidR="00887D84">
              <w:rPr>
                <w:webHidden/>
              </w:rPr>
            </w:r>
            <w:r w:rsidR="00887D84">
              <w:rPr>
                <w:webHidden/>
              </w:rPr>
              <w:fldChar w:fldCharType="separate"/>
            </w:r>
            <w:r w:rsidR="00887D84">
              <w:rPr>
                <w:rStyle w:val="czeindeksu"/>
              </w:rPr>
              <w:tab/>
              <w:t>18</w:t>
            </w:r>
            <w:r w:rsidR="00887D84">
              <w:rPr>
                <w:webHidden/>
              </w:rPr>
              <w:fldChar w:fldCharType="end"/>
            </w:r>
          </w:hyperlink>
        </w:p>
        <w:p w:rsidR="00DC75FA" w:rsidRDefault="00A47575">
          <w:pPr>
            <w:pStyle w:val="Spistreci1"/>
            <w:rPr>
              <w:rFonts w:eastAsiaTheme="minorEastAsia"/>
              <w:lang w:val="en-GB" w:eastAsia="en-GB"/>
            </w:rPr>
          </w:pPr>
          <w:hyperlink w:anchor="_Toc105754691">
            <w:r w:rsidR="00887D84">
              <w:rPr>
                <w:rStyle w:val="czeindeksu"/>
                <w:webHidden/>
              </w:rPr>
              <w:t>5.</w:t>
            </w:r>
            <w:r w:rsidR="00887D84">
              <w:rPr>
                <w:rStyle w:val="czeindeksu"/>
                <w:rFonts w:eastAsiaTheme="minorEastAsia"/>
                <w:lang w:val="en-GB" w:eastAsia="en-GB"/>
              </w:rPr>
              <w:tab/>
            </w:r>
            <w:r w:rsidR="00887D84">
              <w:rPr>
                <w:rStyle w:val="czeindeksu"/>
              </w:rPr>
              <w:t>Wizja, cel strategiczny i cele operacyjne</w:t>
            </w:r>
            <w:r w:rsidR="00887D84">
              <w:rPr>
                <w:webHidden/>
              </w:rPr>
              <w:fldChar w:fldCharType="begin"/>
            </w:r>
            <w:r w:rsidR="00887D84">
              <w:rPr>
                <w:webHidden/>
              </w:rPr>
              <w:instrText>PAGEREF _Toc105754691 \h</w:instrText>
            </w:r>
            <w:r w:rsidR="00887D84">
              <w:rPr>
                <w:webHidden/>
              </w:rPr>
            </w:r>
            <w:r w:rsidR="00887D84">
              <w:rPr>
                <w:webHidden/>
              </w:rPr>
              <w:fldChar w:fldCharType="separate"/>
            </w:r>
            <w:r w:rsidR="00887D84">
              <w:rPr>
                <w:rStyle w:val="czeindeksu"/>
              </w:rPr>
              <w:tab/>
              <w:t>20</w:t>
            </w:r>
            <w:r w:rsidR="00887D84">
              <w:rPr>
                <w:webHidden/>
              </w:rPr>
              <w:fldChar w:fldCharType="end"/>
            </w:r>
          </w:hyperlink>
        </w:p>
        <w:p w:rsidR="00DC75FA" w:rsidRDefault="00A47575">
          <w:pPr>
            <w:pStyle w:val="Spistreci1"/>
            <w:rPr>
              <w:rFonts w:eastAsiaTheme="minorEastAsia"/>
              <w:lang w:val="en-GB" w:eastAsia="en-GB"/>
            </w:rPr>
          </w:pPr>
          <w:hyperlink w:anchor="_Toc105754692">
            <w:r w:rsidR="00887D84">
              <w:rPr>
                <w:rStyle w:val="czeindeksu"/>
                <w:webHidden/>
              </w:rPr>
              <w:t>5.</w:t>
            </w:r>
            <w:r w:rsidR="00887D84">
              <w:rPr>
                <w:rStyle w:val="czeindeksu"/>
                <w:rFonts w:eastAsiaTheme="minorEastAsia"/>
                <w:lang w:val="en-GB" w:eastAsia="en-GB"/>
              </w:rPr>
              <w:tab/>
            </w:r>
            <w:r w:rsidR="00887D84">
              <w:rPr>
                <w:rStyle w:val="czeindeksu"/>
              </w:rPr>
              <w:t>Działania podejmowane dla osiągnięcia celów strategicznych oraz wskaźniki ich osiągnięcia</w:t>
            </w:r>
            <w:r w:rsidR="00887D84">
              <w:rPr>
                <w:webHidden/>
              </w:rPr>
              <w:fldChar w:fldCharType="begin"/>
            </w:r>
            <w:r w:rsidR="00887D84">
              <w:rPr>
                <w:webHidden/>
              </w:rPr>
              <w:instrText>PAGEREF _Toc105754692 \h</w:instrText>
            </w:r>
            <w:r w:rsidR="00887D84">
              <w:rPr>
                <w:webHidden/>
              </w:rPr>
            </w:r>
            <w:r w:rsidR="00887D84">
              <w:rPr>
                <w:webHidden/>
              </w:rPr>
              <w:fldChar w:fldCharType="separate"/>
            </w:r>
            <w:r w:rsidR="00887D84">
              <w:rPr>
                <w:rStyle w:val="czeindeksu"/>
              </w:rPr>
              <w:tab/>
              <w:t>22</w:t>
            </w:r>
            <w:r w:rsidR="00887D84">
              <w:rPr>
                <w:webHidden/>
              </w:rPr>
              <w:fldChar w:fldCharType="end"/>
            </w:r>
          </w:hyperlink>
        </w:p>
        <w:p w:rsidR="00DC75FA" w:rsidRDefault="00A47575">
          <w:pPr>
            <w:pStyle w:val="Spistreci3"/>
            <w:tabs>
              <w:tab w:val="right" w:leader="dot" w:pos="9770"/>
            </w:tabs>
            <w:rPr>
              <w:rFonts w:eastAsiaTheme="minorEastAsia"/>
              <w:lang w:val="en-GB" w:eastAsia="en-GB"/>
            </w:rPr>
          </w:pPr>
          <w:hyperlink w:anchor="_Toc105754693">
            <w:r w:rsidR="00887D84">
              <w:rPr>
                <w:rStyle w:val="czeindeksu"/>
                <w:rFonts w:ascii="Times New Roman" w:hAnsi="Times New Roman" w:cs="Times New Roman"/>
                <w:webHidden/>
              </w:rPr>
              <w:t>Kluczowe przedsięwzięcia obszaru funkcjonalnego Zielone Zagłębie</w:t>
            </w:r>
            <w:r w:rsidR="00887D84">
              <w:rPr>
                <w:webHidden/>
              </w:rPr>
              <w:fldChar w:fldCharType="begin"/>
            </w:r>
            <w:r w:rsidR="00887D84">
              <w:rPr>
                <w:webHidden/>
              </w:rPr>
              <w:instrText>PAGEREF _Toc105754693 \h</w:instrText>
            </w:r>
            <w:r w:rsidR="00887D84">
              <w:rPr>
                <w:webHidden/>
              </w:rPr>
            </w:r>
            <w:r w:rsidR="00887D84">
              <w:rPr>
                <w:webHidden/>
              </w:rPr>
              <w:fldChar w:fldCharType="separate"/>
            </w:r>
            <w:r w:rsidR="00887D84">
              <w:rPr>
                <w:rStyle w:val="czeindeksu"/>
              </w:rPr>
              <w:tab/>
              <w:t>22</w:t>
            </w:r>
            <w:r w:rsidR="00887D84">
              <w:rPr>
                <w:webHidden/>
              </w:rPr>
              <w:fldChar w:fldCharType="end"/>
            </w:r>
          </w:hyperlink>
        </w:p>
        <w:p w:rsidR="00DC75FA" w:rsidRDefault="00A47575">
          <w:pPr>
            <w:pStyle w:val="Spistreci1"/>
            <w:rPr>
              <w:rFonts w:eastAsiaTheme="minorEastAsia"/>
              <w:lang w:val="en-GB" w:eastAsia="en-GB"/>
            </w:rPr>
          </w:pPr>
          <w:hyperlink w:anchor="_Toc105754694">
            <w:r w:rsidR="00887D84">
              <w:rPr>
                <w:rStyle w:val="czeindeksu"/>
                <w:webHidden/>
              </w:rPr>
              <w:t>Projekty uzupełniające wg celów operacyjnych</w:t>
            </w:r>
            <w:r w:rsidR="00887D84">
              <w:rPr>
                <w:webHidden/>
              </w:rPr>
              <w:fldChar w:fldCharType="begin"/>
            </w:r>
            <w:r w:rsidR="00887D84">
              <w:rPr>
                <w:webHidden/>
              </w:rPr>
              <w:instrText>PAGEREF _Toc105754694 \h</w:instrText>
            </w:r>
            <w:r w:rsidR="00887D84">
              <w:rPr>
                <w:webHidden/>
              </w:rPr>
            </w:r>
            <w:r w:rsidR="00887D84">
              <w:rPr>
                <w:webHidden/>
              </w:rPr>
              <w:fldChar w:fldCharType="separate"/>
            </w:r>
            <w:r w:rsidR="00887D84">
              <w:rPr>
                <w:rStyle w:val="czeindeksu"/>
              </w:rPr>
              <w:tab/>
              <w:t>25</w:t>
            </w:r>
            <w:r w:rsidR="00887D84">
              <w:rPr>
                <w:webHidden/>
              </w:rPr>
              <w:fldChar w:fldCharType="end"/>
            </w:r>
          </w:hyperlink>
        </w:p>
        <w:p w:rsidR="00DC75FA" w:rsidRDefault="00A47575">
          <w:pPr>
            <w:pStyle w:val="Spistreci1"/>
            <w:rPr>
              <w:rFonts w:eastAsiaTheme="minorEastAsia"/>
              <w:lang w:val="en-GB" w:eastAsia="en-GB"/>
            </w:rPr>
          </w:pPr>
          <w:hyperlink w:anchor="_Toc105754695">
            <w:r w:rsidR="00887D84">
              <w:rPr>
                <w:rStyle w:val="czeindeksu"/>
                <w:webHidden/>
              </w:rPr>
              <w:t>6.</w:t>
            </w:r>
            <w:r w:rsidR="00887D84">
              <w:rPr>
                <w:rStyle w:val="czeindeksu"/>
                <w:rFonts w:eastAsiaTheme="minorEastAsia"/>
                <w:lang w:val="en-GB" w:eastAsia="en-GB"/>
              </w:rPr>
              <w:tab/>
            </w:r>
            <w:r w:rsidR="00887D84">
              <w:rPr>
                <w:rStyle w:val="czeindeksu"/>
              </w:rPr>
              <w:t>Spójność z celami polityki regionalnej Strategii Rozwoju Województwa Lubelskiego 2030</w:t>
            </w:r>
            <w:r w:rsidR="00887D84">
              <w:rPr>
                <w:webHidden/>
              </w:rPr>
              <w:fldChar w:fldCharType="begin"/>
            </w:r>
            <w:r w:rsidR="00887D84">
              <w:rPr>
                <w:webHidden/>
              </w:rPr>
              <w:instrText>PAGEREF _Toc105754695 \h</w:instrText>
            </w:r>
            <w:r w:rsidR="00887D84">
              <w:rPr>
                <w:webHidden/>
              </w:rPr>
            </w:r>
            <w:r w:rsidR="00887D84">
              <w:rPr>
                <w:webHidden/>
              </w:rPr>
              <w:fldChar w:fldCharType="separate"/>
            </w:r>
            <w:r w:rsidR="00887D84">
              <w:rPr>
                <w:rStyle w:val="czeindeksu"/>
              </w:rPr>
              <w:tab/>
              <w:t>27</w:t>
            </w:r>
            <w:r w:rsidR="00887D84">
              <w:rPr>
                <w:webHidden/>
              </w:rPr>
              <w:fldChar w:fldCharType="end"/>
            </w:r>
          </w:hyperlink>
        </w:p>
        <w:p w:rsidR="00DC75FA" w:rsidRDefault="00A47575">
          <w:pPr>
            <w:pStyle w:val="Spistreci1"/>
            <w:rPr>
              <w:rFonts w:eastAsiaTheme="minorEastAsia"/>
              <w:lang w:val="en-GB" w:eastAsia="en-GB"/>
            </w:rPr>
          </w:pPr>
          <w:hyperlink w:anchor="_Toc105754696">
            <w:r w:rsidR="00887D84">
              <w:rPr>
                <w:rStyle w:val="czeindeksu"/>
                <w:webHidden/>
              </w:rPr>
              <w:t>7.</w:t>
            </w:r>
            <w:r w:rsidR="00887D84">
              <w:rPr>
                <w:rStyle w:val="czeindeksu"/>
                <w:rFonts w:eastAsiaTheme="minorEastAsia"/>
                <w:lang w:val="en-GB" w:eastAsia="en-GB"/>
              </w:rPr>
              <w:tab/>
            </w:r>
            <w:r w:rsidR="00887D84">
              <w:rPr>
                <w:rStyle w:val="czeindeksu"/>
              </w:rPr>
              <w:t>Model struktury funkcjonalno-przestrzennej obszaru ponadlokalnego oraz ustalenia i rekomendacje w zakresie kształtowania i prowadzenia polityki przestrzennej w gminach</w:t>
            </w:r>
            <w:r w:rsidR="00887D84">
              <w:rPr>
                <w:webHidden/>
              </w:rPr>
              <w:fldChar w:fldCharType="begin"/>
            </w:r>
            <w:r w:rsidR="00887D84">
              <w:rPr>
                <w:webHidden/>
              </w:rPr>
              <w:instrText>PAGEREF _Toc105754696 \h</w:instrText>
            </w:r>
            <w:r w:rsidR="00887D84">
              <w:rPr>
                <w:webHidden/>
              </w:rPr>
            </w:r>
            <w:r w:rsidR="00887D84">
              <w:rPr>
                <w:webHidden/>
              </w:rPr>
              <w:fldChar w:fldCharType="separate"/>
            </w:r>
            <w:r w:rsidR="00887D84">
              <w:rPr>
                <w:rStyle w:val="czeindeksu"/>
              </w:rPr>
              <w:tab/>
              <w:t>28</w:t>
            </w:r>
            <w:r w:rsidR="00887D84">
              <w:rPr>
                <w:webHidden/>
              </w:rPr>
              <w:fldChar w:fldCharType="end"/>
            </w:r>
          </w:hyperlink>
        </w:p>
        <w:p w:rsidR="00DC75FA" w:rsidRDefault="00A47575">
          <w:pPr>
            <w:pStyle w:val="Spistreci1"/>
            <w:rPr>
              <w:rFonts w:eastAsiaTheme="minorEastAsia"/>
              <w:lang w:val="en-GB" w:eastAsia="en-GB"/>
            </w:rPr>
          </w:pPr>
          <w:hyperlink w:anchor="_Toc105754697">
            <w:r w:rsidR="00887D84">
              <w:rPr>
                <w:rStyle w:val="czeindeksu"/>
                <w:webHidden/>
              </w:rPr>
              <w:t>8.</w:t>
            </w:r>
            <w:r w:rsidR="00887D84">
              <w:rPr>
                <w:rStyle w:val="czeindeksu"/>
                <w:rFonts w:eastAsiaTheme="minorEastAsia"/>
                <w:lang w:val="en-GB" w:eastAsia="en-GB"/>
              </w:rPr>
              <w:tab/>
            </w:r>
            <w:r w:rsidR="00887D84">
              <w:rPr>
                <w:rStyle w:val="czeindeksu"/>
              </w:rPr>
              <w:t>Terytorialny wymiar wsparcia, obszary strategicznej interwencji, obszary funkcjonalne</w:t>
            </w:r>
            <w:r w:rsidR="00887D84">
              <w:rPr>
                <w:webHidden/>
              </w:rPr>
              <w:fldChar w:fldCharType="begin"/>
            </w:r>
            <w:r w:rsidR="00887D84">
              <w:rPr>
                <w:webHidden/>
              </w:rPr>
              <w:instrText>PAGEREF _Toc105754697 \h</w:instrText>
            </w:r>
            <w:r w:rsidR="00887D84">
              <w:rPr>
                <w:webHidden/>
              </w:rPr>
            </w:r>
            <w:r w:rsidR="00887D84">
              <w:rPr>
                <w:webHidden/>
              </w:rPr>
              <w:fldChar w:fldCharType="separate"/>
            </w:r>
            <w:r w:rsidR="00887D84">
              <w:rPr>
                <w:rStyle w:val="czeindeksu"/>
              </w:rPr>
              <w:tab/>
              <w:t>36</w:t>
            </w:r>
            <w:r w:rsidR="00887D84">
              <w:rPr>
                <w:webHidden/>
              </w:rPr>
              <w:fldChar w:fldCharType="end"/>
            </w:r>
          </w:hyperlink>
        </w:p>
        <w:p w:rsidR="00DC75FA" w:rsidRDefault="00A47575">
          <w:pPr>
            <w:pStyle w:val="Spistreci1"/>
            <w:rPr>
              <w:rFonts w:eastAsiaTheme="minorEastAsia"/>
              <w:lang w:val="en-GB" w:eastAsia="en-GB"/>
            </w:rPr>
          </w:pPr>
          <w:hyperlink w:anchor="_Toc105754698">
            <w:r w:rsidR="00887D84">
              <w:rPr>
                <w:rStyle w:val="czeindeksu"/>
                <w:webHidden/>
              </w:rPr>
              <w:t>9.</w:t>
            </w:r>
            <w:r w:rsidR="00887D84">
              <w:rPr>
                <w:rStyle w:val="czeindeksu"/>
                <w:rFonts w:eastAsiaTheme="minorEastAsia"/>
                <w:lang w:val="en-GB" w:eastAsia="en-GB"/>
              </w:rPr>
              <w:tab/>
            </w:r>
            <w:r w:rsidR="00887D84">
              <w:rPr>
                <w:rStyle w:val="czeindeksu"/>
              </w:rPr>
              <w:t>Zasady i struktura zarządzania procesem wdrażania Strategii</w:t>
            </w:r>
            <w:r w:rsidR="00887D84">
              <w:rPr>
                <w:webHidden/>
              </w:rPr>
              <w:fldChar w:fldCharType="begin"/>
            </w:r>
            <w:r w:rsidR="00887D84">
              <w:rPr>
                <w:webHidden/>
              </w:rPr>
              <w:instrText>PAGEREF _Toc105754698 \h</w:instrText>
            </w:r>
            <w:r w:rsidR="00887D84">
              <w:rPr>
                <w:webHidden/>
              </w:rPr>
            </w:r>
            <w:r w:rsidR="00887D84">
              <w:rPr>
                <w:webHidden/>
              </w:rPr>
              <w:fldChar w:fldCharType="separate"/>
            </w:r>
            <w:r w:rsidR="00887D84">
              <w:rPr>
                <w:rStyle w:val="czeindeksu"/>
              </w:rPr>
              <w:tab/>
              <w:t>42</w:t>
            </w:r>
            <w:r w:rsidR="00887D84">
              <w:rPr>
                <w:webHidden/>
              </w:rPr>
              <w:fldChar w:fldCharType="end"/>
            </w:r>
          </w:hyperlink>
        </w:p>
        <w:p w:rsidR="00DC75FA" w:rsidRDefault="00A47575">
          <w:pPr>
            <w:pStyle w:val="Spistreci2"/>
            <w:tabs>
              <w:tab w:val="right" w:leader="dot" w:pos="9770"/>
            </w:tabs>
            <w:rPr>
              <w:rFonts w:eastAsiaTheme="minorEastAsia"/>
              <w:lang w:val="en-GB" w:eastAsia="en-GB"/>
            </w:rPr>
          </w:pPr>
          <w:hyperlink w:anchor="_Toc105754699">
            <w:r w:rsidR="00887D84">
              <w:rPr>
                <w:rStyle w:val="czeindeksu"/>
                <w:rFonts w:ascii="Times New Roman" w:hAnsi="Times New Roman" w:cs="Times New Roman"/>
                <w:webHidden/>
              </w:rPr>
              <w:t>9.1 Zasady współpracy partnerów</w:t>
            </w:r>
            <w:r w:rsidR="00887D84">
              <w:rPr>
                <w:webHidden/>
              </w:rPr>
              <w:fldChar w:fldCharType="begin"/>
            </w:r>
            <w:r w:rsidR="00887D84">
              <w:rPr>
                <w:webHidden/>
              </w:rPr>
              <w:instrText>PAGEREF _Toc105754699 \h</w:instrText>
            </w:r>
            <w:r w:rsidR="00887D84">
              <w:rPr>
                <w:webHidden/>
              </w:rPr>
            </w:r>
            <w:r w:rsidR="00887D84">
              <w:rPr>
                <w:webHidden/>
              </w:rPr>
              <w:fldChar w:fldCharType="separate"/>
            </w:r>
            <w:r w:rsidR="00887D84">
              <w:rPr>
                <w:rStyle w:val="czeindeksu"/>
              </w:rPr>
              <w:tab/>
              <w:t>42</w:t>
            </w:r>
            <w:r w:rsidR="00887D84">
              <w:rPr>
                <w:webHidden/>
              </w:rPr>
              <w:fldChar w:fldCharType="end"/>
            </w:r>
          </w:hyperlink>
        </w:p>
        <w:p w:rsidR="00DC75FA" w:rsidRDefault="00A47575">
          <w:pPr>
            <w:pStyle w:val="Spistreci2"/>
            <w:tabs>
              <w:tab w:val="right" w:leader="dot" w:pos="9770"/>
            </w:tabs>
            <w:rPr>
              <w:rFonts w:eastAsiaTheme="minorEastAsia"/>
              <w:lang w:val="en-GB" w:eastAsia="en-GB"/>
            </w:rPr>
          </w:pPr>
          <w:hyperlink w:anchor="_Toc105754700">
            <w:r w:rsidR="00887D84">
              <w:rPr>
                <w:rStyle w:val="czeindeksu"/>
                <w:rFonts w:ascii="Times New Roman" w:hAnsi="Times New Roman" w:cs="Times New Roman"/>
                <w:webHidden/>
              </w:rPr>
              <w:t>9.2 Struktura i system zarzadzania strategią</w:t>
            </w:r>
            <w:r w:rsidR="00887D84">
              <w:rPr>
                <w:webHidden/>
              </w:rPr>
              <w:fldChar w:fldCharType="begin"/>
            </w:r>
            <w:r w:rsidR="00887D84">
              <w:rPr>
                <w:webHidden/>
              </w:rPr>
              <w:instrText>PAGEREF _Toc105754700 \h</w:instrText>
            </w:r>
            <w:r w:rsidR="00887D84">
              <w:rPr>
                <w:webHidden/>
              </w:rPr>
            </w:r>
            <w:r w:rsidR="00887D84">
              <w:rPr>
                <w:webHidden/>
              </w:rPr>
              <w:fldChar w:fldCharType="separate"/>
            </w:r>
            <w:r w:rsidR="00887D84">
              <w:rPr>
                <w:rStyle w:val="czeindeksu"/>
              </w:rPr>
              <w:tab/>
              <w:t>43</w:t>
            </w:r>
            <w:r w:rsidR="00887D84">
              <w:rPr>
                <w:webHidden/>
              </w:rPr>
              <w:fldChar w:fldCharType="end"/>
            </w:r>
          </w:hyperlink>
        </w:p>
        <w:p w:rsidR="00DC75FA" w:rsidRDefault="00A47575">
          <w:pPr>
            <w:pStyle w:val="Spistreci1"/>
            <w:rPr>
              <w:rFonts w:eastAsiaTheme="minorEastAsia"/>
              <w:lang w:val="en-GB" w:eastAsia="en-GB"/>
            </w:rPr>
          </w:pPr>
          <w:hyperlink w:anchor="_Toc105754701">
            <w:r w:rsidR="00887D84">
              <w:rPr>
                <w:rStyle w:val="czeindeksu"/>
                <w:webHidden/>
              </w:rPr>
              <w:t>10.</w:t>
            </w:r>
            <w:r w:rsidR="00887D84">
              <w:rPr>
                <w:rStyle w:val="czeindeksu"/>
                <w:rFonts w:eastAsiaTheme="minorEastAsia"/>
                <w:lang w:val="en-GB" w:eastAsia="en-GB"/>
              </w:rPr>
              <w:tab/>
            </w:r>
            <w:r w:rsidR="00887D84">
              <w:rPr>
                <w:rStyle w:val="czeindeksu"/>
              </w:rPr>
              <w:t>Monitoring i ewaluacja strategii</w:t>
            </w:r>
            <w:r w:rsidR="00887D84">
              <w:rPr>
                <w:webHidden/>
              </w:rPr>
              <w:fldChar w:fldCharType="begin"/>
            </w:r>
            <w:r w:rsidR="00887D84">
              <w:rPr>
                <w:webHidden/>
              </w:rPr>
              <w:instrText>PAGEREF _Toc105754701 \h</w:instrText>
            </w:r>
            <w:r w:rsidR="00887D84">
              <w:rPr>
                <w:webHidden/>
              </w:rPr>
            </w:r>
            <w:r w:rsidR="00887D84">
              <w:rPr>
                <w:webHidden/>
              </w:rPr>
              <w:fldChar w:fldCharType="separate"/>
            </w:r>
            <w:r w:rsidR="00887D84">
              <w:rPr>
                <w:rStyle w:val="czeindeksu"/>
              </w:rPr>
              <w:tab/>
              <w:t>46</w:t>
            </w:r>
            <w:r w:rsidR="00887D84">
              <w:rPr>
                <w:webHidden/>
              </w:rPr>
              <w:fldChar w:fldCharType="end"/>
            </w:r>
          </w:hyperlink>
        </w:p>
        <w:p w:rsidR="00DC75FA" w:rsidRDefault="00A47575">
          <w:pPr>
            <w:pStyle w:val="Spistreci1"/>
            <w:rPr>
              <w:rFonts w:eastAsiaTheme="minorEastAsia"/>
              <w:lang w:val="en-GB" w:eastAsia="en-GB"/>
            </w:rPr>
          </w:pPr>
          <w:hyperlink w:anchor="_Toc105754702">
            <w:r w:rsidR="00887D84">
              <w:rPr>
                <w:rStyle w:val="czeindeksu"/>
                <w:webHidden/>
              </w:rPr>
              <w:t>11.</w:t>
            </w:r>
            <w:r w:rsidR="00887D84">
              <w:rPr>
                <w:rStyle w:val="czeindeksu"/>
                <w:rFonts w:eastAsiaTheme="minorEastAsia"/>
                <w:lang w:val="en-GB" w:eastAsia="en-GB"/>
              </w:rPr>
              <w:tab/>
            </w:r>
            <w:r w:rsidR="00887D84">
              <w:rPr>
                <w:rStyle w:val="czeindeksu"/>
              </w:rPr>
              <w:t>Ramy finansowe i źródła finansowania</w:t>
            </w:r>
            <w:r w:rsidR="00887D84">
              <w:rPr>
                <w:webHidden/>
              </w:rPr>
              <w:fldChar w:fldCharType="begin"/>
            </w:r>
            <w:r w:rsidR="00887D84">
              <w:rPr>
                <w:webHidden/>
              </w:rPr>
              <w:instrText>PAGEREF _Toc105754702 \h</w:instrText>
            </w:r>
            <w:r w:rsidR="00887D84">
              <w:rPr>
                <w:webHidden/>
              </w:rPr>
            </w:r>
            <w:r w:rsidR="00887D84">
              <w:rPr>
                <w:webHidden/>
              </w:rPr>
              <w:fldChar w:fldCharType="separate"/>
            </w:r>
            <w:r w:rsidR="00887D84">
              <w:rPr>
                <w:rStyle w:val="czeindeksu"/>
              </w:rPr>
              <w:tab/>
              <w:t>48</w:t>
            </w:r>
            <w:r w:rsidR="00887D84">
              <w:rPr>
                <w:webHidden/>
              </w:rPr>
              <w:fldChar w:fldCharType="end"/>
            </w:r>
          </w:hyperlink>
        </w:p>
        <w:p w:rsidR="00DC75FA" w:rsidRDefault="00A47575">
          <w:pPr>
            <w:pStyle w:val="Spistreci1"/>
            <w:rPr>
              <w:rFonts w:eastAsiaTheme="minorEastAsia"/>
              <w:lang w:val="en-GB" w:eastAsia="en-GB"/>
            </w:rPr>
          </w:pPr>
          <w:hyperlink w:anchor="_Toc105754703">
            <w:r w:rsidR="00887D84">
              <w:rPr>
                <w:rStyle w:val="czeindeksu"/>
                <w:webHidden/>
              </w:rPr>
              <w:t>12.</w:t>
            </w:r>
            <w:r w:rsidR="00887D84">
              <w:rPr>
                <w:rStyle w:val="czeindeksu"/>
                <w:rFonts w:eastAsiaTheme="minorEastAsia"/>
                <w:lang w:val="en-GB" w:eastAsia="en-GB"/>
              </w:rPr>
              <w:tab/>
            </w:r>
            <w:r w:rsidR="00887D84">
              <w:rPr>
                <w:rStyle w:val="czeindeksu"/>
              </w:rPr>
              <w:t>Partycypacja społeczna w procesie opracowania Strategii</w:t>
            </w:r>
            <w:r w:rsidR="00887D84">
              <w:rPr>
                <w:webHidden/>
              </w:rPr>
              <w:fldChar w:fldCharType="begin"/>
            </w:r>
            <w:r w:rsidR="00887D84">
              <w:rPr>
                <w:webHidden/>
              </w:rPr>
              <w:instrText>PAGEREF _Toc105754703 \h</w:instrText>
            </w:r>
            <w:r w:rsidR="00887D84">
              <w:rPr>
                <w:webHidden/>
              </w:rPr>
            </w:r>
            <w:r w:rsidR="00887D84">
              <w:rPr>
                <w:webHidden/>
              </w:rPr>
              <w:fldChar w:fldCharType="separate"/>
            </w:r>
            <w:r w:rsidR="00887D84">
              <w:rPr>
                <w:rStyle w:val="czeindeksu"/>
              </w:rPr>
              <w:tab/>
              <w:t>58</w:t>
            </w:r>
            <w:r w:rsidR="00887D84">
              <w:rPr>
                <w:webHidden/>
              </w:rPr>
              <w:fldChar w:fldCharType="end"/>
            </w:r>
          </w:hyperlink>
        </w:p>
        <w:p w:rsidR="00DC75FA" w:rsidRDefault="00A47575">
          <w:pPr>
            <w:pStyle w:val="Spistreci1"/>
            <w:rPr>
              <w:rFonts w:eastAsiaTheme="minorEastAsia"/>
              <w:lang w:val="en-GB" w:eastAsia="en-GB"/>
            </w:rPr>
          </w:pPr>
          <w:hyperlink w:anchor="_Toc105754704">
            <w:r w:rsidR="00887D84">
              <w:rPr>
                <w:rStyle w:val="czeindeksu"/>
                <w:webHidden/>
              </w:rPr>
              <w:t>13.</w:t>
            </w:r>
            <w:r w:rsidR="00887D84">
              <w:rPr>
                <w:rStyle w:val="czeindeksu"/>
                <w:rFonts w:eastAsiaTheme="minorEastAsia"/>
                <w:lang w:val="en-GB" w:eastAsia="en-GB"/>
              </w:rPr>
              <w:tab/>
            </w:r>
            <w:r w:rsidR="00887D84">
              <w:rPr>
                <w:rStyle w:val="czeindeksu"/>
              </w:rPr>
              <w:t>Uzgodnienia treści dokumentu wynikające z ustaw</w:t>
            </w:r>
            <w:r w:rsidR="00887D84">
              <w:rPr>
                <w:webHidden/>
              </w:rPr>
              <w:fldChar w:fldCharType="begin"/>
            </w:r>
            <w:r w:rsidR="00887D84">
              <w:rPr>
                <w:webHidden/>
              </w:rPr>
              <w:instrText>PAGEREF _Toc105754704 \h</w:instrText>
            </w:r>
            <w:r w:rsidR="00887D84">
              <w:rPr>
                <w:webHidden/>
              </w:rPr>
            </w:r>
            <w:r w:rsidR="00887D84">
              <w:rPr>
                <w:webHidden/>
              </w:rPr>
              <w:fldChar w:fldCharType="separate"/>
            </w:r>
            <w:r w:rsidR="00887D84">
              <w:rPr>
                <w:rStyle w:val="czeindeksu"/>
              </w:rPr>
              <w:tab/>
              <w:t>61</w:t>
            </w:r>
            <w:r w:rsidR="00887D84">
              <w:rPr>
                <w:webHidden/>
              </w:rPr>
              <w:fldChar w:fldCharType="end"/>
            </w:r>
          </w:hyperlink>
        </w:p>
        <w:p w:rsidR="00DC75FA" w:rsidRDefault="00A47575">
          <w:pPr>
            <w:pStyle w:val="Spistreci2"/>
            <w:tabs>
              <w:tab w:val="right" w:leader="dot" w:pos="9770"/>
            </w:tabs>
            <w:rPr>
              <w:rFonts w:eastAsiaTheme="minorEastAsia"/>
              <w:lang w:val="en-GB" w:eastAsia="en-GB"/>
            </w:rPr>
          </w:pPr>
          <w:hyperlink w:anchor="_Toc105754705">
            <w:r w:rsidR="00887D84">
              <w:rPr>
                <w:rStyle w:val="czeindeksu"/>
                <w:rFonts w:ascii="Times New Roman" w:hAnsi="Times New Roman" w:cs="Times New Roman"/>
                <w:webHidden/>
              </w:rPr>
              <w:t>Spis map</w:t>
            </w:r>
            <w:r w:rsidR="00887D84">
              <w:rPr>
                <w:webHidden/>
              </w:rPr>
              <w:fldChar w:fldCharType="begin"/>
            </w:r>
            <w:r w:rsidR="00887D84">
              <w:rPr>
                <w:webHidden/>
              </w:rPr>
              <w:instrText>PAGEREF _Toc105754705 \h</w:instrText>
            </w:r>
            <w:r w:rsidR="00887D84">
              <w:rPr>
                <w:webHidden/>
              </w:rPr>
            </w:r>
            <w:r w:rsidR="00887D84">
              <w:rPr>
                <w:webHidden/>
              </w:rPr>
              <w:fldChar w:fldCharType="separate"/>
            </w:r>
            <w:r w:rsidR="00887D84">
              <w:rPr>
                <w:rStyle w:val="czeindeksu"/>
              </w:rPr>
              <w:tab/>
              <w:t>67</w:t>
            </w:r>
            <w:r w:rsidR="00887D84">
              <w:rPr>
                <w:webHidden/>
              </w:rPr>
              <w:fldChar w:fldCharType="end"/>
            </w:r>
          </w:hyperlink>
        </w:p>
        <w:p w:rsidR="00DC75FA" w:rsidRDefault="00A47575">
          <w:pPr>
            <w:pStyle w:val="Spistreci2"/>
            <w:tabs>
              <w:tab w:val="right" w:leader="dot" w:pos="9770"/>
            </w:tabs>
            <w:rPr>
              <w:rFonts w:eastAsiaTheme="minorEastAsia"/>
              <w:lang w:val="en-GB" w:eastAsia="en-GB"/>
            </w:rPr>
          </w:pPr>
          <w:hyperlink w:anchor="_Toc105754706">
            <w:r w:rsidR="00887D84">
              <w:rPr>
                <w:rStyle w:val="czeindeksu"/>
                <w:rFonts w:ascii="Times New Roman" w:hAnsi="Times New Roman" w:cs="Times New Roman"/>
                <w:webHidden/>
              </w:rPr>
              <w:t>Spis tabel</w:t>
            </w:r>
            <w:r w:rsidR="00887D84">
              <w:rPr>
                <w:webHidden/>
              </w:rPr>
              <w:fldChar w:fldCharType="begin"/>
            </w:r>
            <w:r w:rsidR="00887D84">
              <w:rPr>
                <w:webHidden/>
              </w:rPr>
              <w:instrText>PAGEREF _Toc105754706 \h</w:instrText>
            </w:r>
            <w:r w:rsidR="00887D84">
              <w:rPr>
                <w:webHidden/>
              </w:rPr>
            </w:r>
            <w:r w:rsidR="00887D84">
              <w:rPr>
                <w:webHidden/>
              </w:rPr>
              <w:fldChar w:fldCharType="separate"/>
            </w:r>
            <w:r w:rsidR="00887D84">
              <w:rPr>
                <w:rStyle w:val="czeindeksu"/>
              </w:rPr>
              <w:tab/>
              <w:t>67</w:t>
            </w:r>
            <w:r w:rsidR="00887D84">
              <w:rPr>
                <w:webHidden/>
              </w:rPr>
              <w:fldChar w:fldCharType="end"/>
            </w:r>
          </w:hyperlink>
        </w:p>
        <w:p w:rsidR="00DC75FA" w:rsidRDefault="00A47575">
          <w:pPr>
            <w:pStyle w:val="Spistreci2"/>
            <w:tabs>
              <w:tab w:val="right" w:leader="dot" w:pos="9770"/>
            </w:tabs>
            <w:rPr>
              <w:rFonts w:eastAsiaTheme="minorEastAsia"/>
              <w:lang w:val="en-GB" w:eastAsia="en-GB"/>
            </w:rPr>
          </w:pPr>
          <w:hyperlink w:anchor="_Toc105754707">
            <w:r w:rsidR="00887D84">
              <w:rPr>
                <w:rStyle w:val="czeindeksu"/>
                <w:rFonts w:ascii="Times New Roman" w:hAnsi="Times New Roman" w:cs="Times New Roman"/>
                <w:webHidden/>
              </w:rPr>
              <w:t>Spis wykresów</w:t>
            </w:r>
            <w:r w:rsidR="00887D84">
              <w:rPr>
                <w:webHidden/>
              </w:rPr>
              <w:fldChar w:fldCharType="begin"/>
            </w:r>
            <w:r w:rsidR="00887D84">
              <w:rPr>
                <w:webHidden/>
              </w:rPr>
              <w:instrText>PAGEREF _Toc105754707 \h</w:instrText>
            </w:r>
            <w:r w:rsidR="00887D84">
              <w:rPr>
                <w:webHidden/>
              </w:rPr>
            </w:r>
            <w:r w:rsidR="00887D84">
              <w:rPr>
                <w:webHidden/>
              </w:rPr>
              <w:fldChar w:fldCharType="separate"/>
            </w:r>
            <w:r w:rsidR="00887D84">
              <w:rPr>
                <w:rStyle w:val="czeindeksu"/>
              </w:rPr>
              <w:tab/>
              <w:t>67</w:t>
            </w:r>
            <w:r w:rsidR="00887D84">
              <w:rPr>
                <w:webHidden/>
              </w:rPr>
              <w:fldChar w:fldCharType="end"/>
            </w:r>
          </w:hyperlink>
        </w:p>
        <w:p w:rsidR="00DC75FA" w:rsidRDefault="00DC75FA">
          <w:pPr>
            <w:pStyle w:val="Spistreci2"/>
            <w:tabs>
              <w:tab w:val="right" w:leader="dot" w:pos="9770"/>
            </w:tabs>
            <w:rPr>
              <w:rFonts w:eastAsiaTheme="minorEastAsia"/>
              <w:lang w:val="en-GB" w:eastAsia="en-GB"/>
            </w:rPr>
          </w:pPr>
        </w:p>
        <w:p w:rsidR="00DC75FA" w:rsidRDefault="00887D84">
          <w:pPr>
            <w:rPr>
              <w:rFonts w:ascii="Times New Roman" w:hAnsi="Times New Roman" w:cs="Times New Roman"/>
            </w:rPr>
          </w:pPr>
          <w:r>
            <w:rPr>
              <w:rFonts w:ascii="Times New Roman" w:hAnsi="Times New Roman" w:cs="Times New Roman"/>
            </w:rPr>
            <w:fldChar w:fldCharType="end"/>
          </w:r>
        </w:p>
      </w:sdtContent>
    </w:sdt>
    <w:p w:rsidR="00DC75FA" w:rsidRDefault="00DC75FA">
      <w:pPr>
        <w:rPr>
          <w:rFonts w:ascii="Times New Roman" w:hAnsi="Times New Roman" w:cs="Times New Roman"/>
        </w:rPr>
      </w:pPr>
    </w:p>
    <w:p w:rsidR="00DC75FA" w:rsidRDefault="00DC75FA">
      <w:pPr>
        <w:ind w:left="284"/>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bookmarkStart w:id="0" w:name="_GoBack"/>
      <w:bookmarkEnd w:id="0"/>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sectPr w:rsidR="00DC75FA">
          <w:headerReference w:type="default" r:id="rId9"/>
          <w:footerReference w:type="default" r:id="rId10"/>
          <w:headerReference w:type="first" r:id="rId11"/>
          <w:footerReference w:type="first" r:id="rId12"/>
          <w:pgSz w:w="11906" w:h="16838"/>
          <w:pgMar w:top="1417" w:right="1417" w:bottom="1417" w:left="709" w:header="284" w:footer="0" w:gutter="0"/>
          <w:pgNumType w:start="0"/>
          <w:cols w:space="708"/>
          <w:formProt w:val="0"/>
          <w:titlePg/>
          <w:docGrid w:linePitch="360" w:charSpace="4096"/>
        </w:sectPr>
      </w:pPr>
    </w:p>
    <w:p w:rsidR="00DC75FA" w:rsidRDefault="00887D84">
      <w:pPr>
        <w:pStyle w:val="Nagwek1"/>
        <w:ind w:left="284" w:hanging="284"/>
        <w:rPr>
          <w:rFonts w:ascii="Times New Roman" w:hAnsi="Times New Roman" w:cs="Times New Roman"/>
        </w:rPr>
      </w:pPr>
      <w:bookmarkStart w:id="1" w:name="_Toc105754686"/>
      <w:r>
        <w:rPr>
          <w:rFonts w:ascii="Times New Roman" w:hAnsi="Times New Roman" w:cs="Times New Roman"/>
        </w:rPr>
        <w:lastRenderedPageBreak/>
        <w:t>Wprowadzenie</w:t>
      </w:r>
      <w:bookmarkEnd w:id="1"/>
      <w:r>
        <w:rPr>
          <w:rFonts w:ascii="Times New Roman" w:hAnsi="Times New Roman" w:cs="Times New Roman"/>
        </w:rPr>
        <w:t xml:space="preserve"> </w:t>
      </w:r>
    </w:p>
    <w:p w:rsidR="00DC75FA" w:rsidRDefault="00DC75FA">
      <w:pPr>
        <w:ind w:left="284" w:hanging="284"/>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 xml:space="preserve">Od momentu akcesji, kiedy Polska stała się członkiem Unii Europejskiej podejście do dokumentu strategicznego na poziomie lokalnym ewaluowało. Pojęcie strategii rozwoju (lokalnej strategii rozwoju) pojawiło się w ustawie o zasadach prowadzenia polityki rozwoju z 2006 roku (Dz.U.2006.1658). Definicję określał art. 9 ust. 4 Ustawy „Strategiami rozwoju są: (…) strategie rozwoju lokalnego, w tym strategie rozwoju powiatów oraz strategie rozwoju gmin”. </w:t>
      </w:r>
    </w:p>
    <w:p w:rsidR="00DC75FA" w:rsidRDefault="00887D84">
      <w:pPr>
        <w:jc w:val="both"/>
        <w:rPr>
          <w:rFonts w:ascii="Times New Roman" w:hAnsi="Times New Roman" w:cs="Times New Roman"/>
        </w:rPr>
      </w:pPr>
      <w:r>
        <w:rPr>
          <w:rFonts w:ascii="Times New Roman" w:hAnsi="Times New Roman" w:cs="Times New Roman"/>
        </w:rPr>
        <w:t>Lokalne strategie rozwoju służyły nie tylko wypracowaniu celów strategicznych i szczegółowych oraz wyznaczaniu kierunków rozwoju gmin, ale przede wszystkim otwierały możliwości pozyskiwania środków unijnych. Często posiadanie strategii rozwoju było warunkiem sine qua non wnioskowania w konkursach dotacyjnych. Częścią wniosku aplikacyjnego lub studium wykonalności był i nadal jest opis spójności celów projektu z celami strategicznymi danej jednostki samorządu terytorialnego. Pomimo tego wymogu niektóre gminy nie posiadały aktualnej strategii. Zdarzało się, że przy ocenie merytorycznej dopuszczano lokalne programy rozwoju lub strategie, plany lub programy sektorowe (np. lokalne programy rewitalizacji, plany gospodarki niskoemisyjnej).</w:t>
      </w:r>
    </w:p>
    <w:p w:rsidR="00DC75FA" w:rsidRDefault="00887D84">
      <w:pPr>
        <w:jc w:val="both"/>
        <w:rPr>
          <w:rFonts w:ascii="Times New Roman" w:hAnsi="Times New Roman" w:cs="Times New Roman"/>
        </w:rPr>
      </w:pPr>
      <w:r>
        <w:rPr>
          <w:rFonts w:ascii="Times New Roman" w:hAnsi="Times New Roman" w:cs="Times New Roman"/>
        </w:rPr>
        <w:t>Planowanie ponadgminne było niejako wymuszone na poziomie województw w przypadku gmin wiejskich, które korzystały ze środków na politykę rozwoju obszarów wiejskich. W ramach inicjatywy wspólnotowej LEADER+ wymogiem pozyskania środków na mikroprojekty było posiadanie dokumentu strategicznego Lokalnej Grupy Działania. W perspektywie 2014-2020 wprowadzono nowe instrumenty współpracy ponadlokalnej takie jak Zintegrowane Inwestycje Terytorialne (dla których warunkiem było posiadanie Strategii ZIT dla miasta i jego obszaru funkcjonalnego) czy RLKS - rozwój lokalny kierowany przez społeczność – wywodzący się z inicjatywy LEADER +.</w:t>
      </w:r>
    </w:p>
    <w:p w:rsidR="00DC75FA" w:rsidRDefault="00887D84">
      <w:pPr>
        <w:spacing w:after="0"/>
        <w:jc w:val="both"/>
        <w:rPr>
          <w:rFonts w:ascii="Times New Roman" w:hAnsi="Times New Roman" w:cs="Times New Roman"/>
        </w:rPr>
      </w:pPr>
      <w:r>
        <w:rPr>
          <w:rFonts w:ascii="Times New Roman" w:hAnsi="Times New Roman" w:cs="Times New Roman"/>
        </w:rPr>
        <w:t>Jak pokazują doświadczenia z lat ubiegłych, opracowanie wspólnych dla kilku gmin dokumentów strategicznych przyniosło wiele korzyści, a między innymi:</w:t>
      </w:r>
    </w:p>
    <w:p w:rsidR="00DC75FA" w:rsidRDefault="00887D84">
      <w:pPr>
        <w:spacing w:after="0"/>
        <w:jc w:val="both"/>
        <w:rPr>
          <w:rFonts w:ascii="Times New Roman" w:hAnsi="Times New Roman" w:cs="Times New Roman"/>
        </w:rPr>
      </w:pPr>
      <w:r>
        <w:rPr>
          <w:rFonts w:ascii="Times New Roman" w:hAnsi="Times New Roman" w:cs="Times New Roman"/>
        </w:rPr>
        <w:t>- większe możliwości pozyskania środków zewnętrznych – możliwość korzystania ze źródeł dedykowanych na współpracę międzygminną tj. ZIT czy RLKS,</w:t>
      </w:r>
    </w:p>
    <w:p w:rsidR="00DC75FA" w:rsidRDefault="00887D84">
      <w:pPr>
        <w:spacing w:after="0"/>
        <w:jc w:val="both"/>
        <w:rPr>
          <w:rFonts w:ascii="Times New Roman" w:hAnsi="Times New Roman" w:cs="Times New Roman"/>
        </w:rPr>
      </w:pPr>
      <w:r>
        <w:rPr>
          <w:rFonts w:ascii="Times New Roman" w:hAnsi="Times New Roman" w:cs="Times New Roman"/>
        </w:rPr>
        <w:t>- wyższa punktacja w ramach oceny merytorycznej wniosków aplikacyjnych (punkty dodatkowe za współpracę międzygminną),</w:t>
      </w:r>
    </w:p>
    <w:p w:rsidR="00DC75FA" w:rsidRDefault="00887D84">
      <w:pPr>
        <w:spacing w:after="0"/>
        <w:jc w:val="both"/>
        <w:rPr>
          <w:rFonts w:ascii="Times New Roman" w:hAnsi="Times New Roman" w:cs="Times New Roman"/>
        </w:rPr>
      </w:pPr>
      <w:r>
        <w:rPr>
          <w:rFonts w:ascii="Times New Roman" w:hAnsi="Times New Roman" w:cs="Times New Roman"/>
        </w:rPr>
        <w:t>- rozłożenie kosztów przygotowania dokumentów, wniosków aplikacyjnych wraz z dokumentacją oraz raportów monitoringowych na kilka jednostek samorządu terytorialnego,</w:t>
      </w:r>
    </w:p>
    <w:p w:rsidR="00DC75FA" w:rsidRDefault="00887D84">
      <w:pPr>
        <w:spacing w:after="0"/>
        <w:jc w:val="both"/>
        <w:rPr>
          <w:rFonts w:ascii="Times New Roman" w:hAnsi="Times New Roman" w:cs="Times New Roman"/>
        </w:rPr>
      </w:pPr>
      <w:r>
        <w:rPr>
          <w:rFonts w:ascii="Times New Roman" w:hAnsi="Times New Roman" w:cs="Times New Roman"/>
        </w:rPr>
        <w:t>- zacieśnienie współpracy sąsiadujących ze sobą gmin,</w:t>
      </w:r>
    </w:p>
    <w:p w:rsidR="00DC75FA" w:rsidRDefault="00887D84">
      <w:pPr>
        <w:spacing w:after="0"/>
        <w:jc w:val="both"/>
        <w:rPr>
          <w:rFonts w:ascii="Times New Roman" w:hAnsi="Times New Roman" w:cs="Times New Roman"/>
        </w:rPr>
      </w:pPr>
      <w:r>
        <w:rPr>
          <w:rFonts w:ascii="Times New Roman" w:hAnsi="Times New Roman" w:cs="Times New Roman"/>
        </w:rPr>
        <w:t>- zapewnienie spójności lub ciągłości realizowanych inwestycji, zwłaszcza w obszarach przygranicznych danych gmin.</w:t>
      </w:r>
    </w:p>
    <w:p w:rsidR="00DC75FA" w:rsidRDefault="00DC75FA">
      <w:pPr>
        <w:spacing w:after="0"/>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W wyniku dobrych praktyk, planowanie ponadgminne znalazło ścieżkę legislacyjną w ustawie o samorządzie gminnym. Zgodnie z Art. 10g. ust. 1. Ustawy [</w:t>
      </w:r>
      <w:proofErr w:type="spellStart"/>
      <w:r>
        <w:rPr>
          <w:rFonts w:ascii="Times New Roman" w:hAnsi="Times New Roman" w:cs="Times New Roman"/>
        </w:rPr>
        <w:t>t.j</w:t>
      </w:r>
      <w:proofErr w:type="spellEnd"/>
      <w:r>
        <w:rPr>
          <w:rFonts w:ascii="Times New Roman" w:hAnsi="Times New Roman" w:cs="Times New Roman"/>
        </w:rPr>
        <w:t>. Dz. U.2020.713 ze zm.]: Gminy sąsiadujące, powiązane ze sobą funkcjonalnie, mogą opracować strategię rozwoju ponadlokalnego będącą wspólną strategią rozwoju tych gmin w zakresie ich terytorium. Możliwość taka została wprowadzona w Ustawie o zasadach prowadzenia polityki rozwoju w nowelizacji z 2020 roku. [Dz.U.2019.1295 ze zm.]. Wspomniana ustawa wprowadza pojęcie obszaru funkcjonalnego. Zgodnie z definicją powołaną w Art. 5. Ust. 6a obszar funkcjonalny to  obszar, na którym występuje względnie wyodrębniający się, intensywny i otwarty system powiązań społecznych, gospodarczych lub przyrodniczych, uwarunkowanych cechami środowiska geograficznego (przyrodniczego i antropogenicznego).</w:t>
      </w:r>
    </w:p>
    <w:p w:rsidR="00DC75FA" w:rsidRDefault="00887D84">
      <w:pPr>
        <w:spacing w:after="0"/>
        <w:jc w:val="both"/>
        <w:rPr>
          <w:rFonts w:ascii="Times New Roman" w:hAnsi="Times New Roman" w:cs="Times New Roman"/>
        </w:rPr>
      </w:pPr>
      <w:r>
        <w:rPr>
          <w:rFonts w:ascii="Times New Roman" w:hAnsi="Times New Roman" w:cs="Times New Roman"/>
        </w:rPr>
        <w:t>Strategie ponadlokalne są odpowiedzią na potrzebę wspólnego planowania rozwoju w obrębie kilku gmin powiązanych ze sobą funkcjonalnie. Docelowo wspólne programowanie strategicznie wpłynie na jakość realizowanych zadań oraz wpłynie na możliwości pozyskiwania funduszy unijnych przez jednostki samorządu współpracujące ze sobą w ramach porozumienia ponadlokalnego.</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 xml:space="preserve">Jak wynika z projektu Umowy partnerstwa (styczeń 2021) gminy posiadające strategię ponadlokalną mogą liczyć na dodatkowe środki unijne w ramach 5 celu polityki Unii Europejskiej: „Europa bliżej obywateli”. W ramach celu wspierana będzie realizacja przygotowanych na poziomie ponadlokalnym (i lokalnym) strategii ukierunkowanych na zmiany strukturalne danego obszaru, w zgodzie z priorytetami Unii Europejskiej oraz celami zdefiniowanymi na poziomie krajowym w Krajowej Strategii Rozwoju Regionalnego oraz regionalnym w Strategii Rozwoju Województwa. Ten nowy, przekrojowy Cel Polityki wymaga specyficznego podejścia, zarówno na etapie programowania, jak i później wdrażania. Jak wynika z projektu Umowy Partnerstwa: „Potrzeba koncentracji wsparcia na ośrodkach słabszych wynika również z wciąż utrzymującego się w Polsce znacznego zróżnicowania wewnątrz regionalnego”. </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W rozwiązywaniu problemów na poziomie lokalnym sprzyja systematycznie wzrastająca świadomość polskich samorządów lokalnych i regionalnych dotycząca znaczenia korzyści płynących ze współpracy. Bardzo ważnym czynnikiem stymulującym współpracę były środki z funduszy europejskich przeznaczone na realizację przedsięwzięć oddziałujących na jakość życia na tych obszarach. Zdarzenia wywołane pandemią COVID jeszcze mocniej unaoczniły skalę problemów na obszarach o najtrudniejszej sytuacji ekonomicznej (utrudniony dostęp do podstawowych usług publicznych w szczególności zdrowotnych i edukacyjnych, brak dostępu do szerokopasmowego Internetu). Kryzys dotknął zwłaszcza te jednostki samorządu terytorialnego, w których dochody, zarówno samorządów, jak i lokalnych przedsiębiorców, opierają się na usługach z branży turystycznej i związanych z kulturą.</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Wyzwanie polegające na odbudowie lokalnej gospodarki, w tym w sytuacji kryzysu epidemicznego nakłada na samorządy na tych obszarach konieczność zaangażowania się w oddolne, strategiczne planowanie i zarządzanie procesami rozwojowymi w sposób zintegrowany (powiązany ze sobą), wspólnie z sąsiadami oraz innymi partnerami i różnymi podmiotami funkcjonującymi na danym terenie, w tym z mieszkańcami. Działania te muszą polegać zarówno na pełniejszym wykorzystaniu istniejących potencjałów i zbudowaniu nowych przewag konkurencyjnych, a także uwzględniać potrzeby zwiększania odporności lokalnych gospodarek na nieprzewidziane sytuacje kryzysowe, z wykorzystaniem trwałych rozwiązań zielonej gospodarki.</w:t>
      </w:r>
    </w:p>
    <w:p w:rsidR="00DC75FA" w:rsidRDefault="00DC75FA">
      <w:pPr>
        <w:spacing w:after="0"/>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Jak wspomniano wcześniej dokumenty strategiczne określają obszar funkcjonalny jako obszar na którym występuje względnie wyodrębniający się, intensywny i otwarty system powiązań społecznych, gospodarczych lub przyrodniczych, uwarunkowanych cechami środowiska geograficznego (przyrodniczego i antropogenicznego). Gminy deklarujące wolę współpracy porozumiały się i intencję przygotowania wspólnej strategii ponadlokalnej wyraziły w liście intencyjnym podpisanym przez wójtów. Następnie rady gmin przyjęły uchwały w sprawie wyrażenia zgody na partnerstwo w jednej z trzech przewidzianych w Ustawie o samorządzie gminnym form: porozumienie międzygminne o którym mowa w art. 74 (kolejne dwie formy, niewykorzystane w dotychczasowej współpracy to związek międzygminny, o którym mowa w art. 64, lub stowarzyszenie, o którym mowa w art. 84).</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Jak wynika z doświadczeń eksperckich najczęściej przyjmowaną formą współpracy jest porozumienie międzygminne. W takiej formie wskazany jest lider porozumienia, który reprezentuje partnerstwo ponadlokalne w kontaktach np. z urzędem marszałkowskim czy zewnętrznym wykonawcą strategii, natomiast na etapie wdrożenia strategii, wybrane projekty mogą być realizowane w partnerstwach projektowych zawiązywanych na mocy art. 18 ust. 12 Ustawy o samorządzie gminnym. Kwestie inwestycji w ramach projektów wdrożeniowych są wtedy klarowne – inwestor (gmina) dysponuje majątkiem, który jest zagospodarowywany lub modernizowany, zgodnie z ustaleniami strategii ponadlokalnej.</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lastRenderedPageBreak/>
        <w:t>Zakres projektu strategii rozwoju ponadlokalnego określa art. 10g. ust.  3. Ustawy o samorządzie gminnym: „Do strategii rozwoju ponadlokalnego przepisy art. 10e ust. 2–4 stosuje się odpowiednio”, to jest:</w:t>
      </w:r>
    </w:p>
    <w:p w:rsidR="00DC75FA" w:rsidRDefault="00887D84">
      <w:pPr>
        <w:spacing w:after="0"/>
        <w:jc w:val="both"/>
        <w:rPr>
          <w:rFonts w:ascii="Times New Roman" w:hAnsi="Times New Roman" w:cs="Times New Roman"/>
        </w:rPr>
      </w:pPr>
      <w:r>
        <w:rPr>
          <w:rFonts w:ascii="Times New Roman" w:hAnsi="Times New Roman" w:cs="Times New Roman"/>
        </w:rPr>
        <w:t>-  Strategia rozwoju ponadlokalnego ma być spójna ze strategią rozwoju województwa oraz strategiami lokalnymi i lokalnymi programami rozwoju</w:t>
      </w:r>
    </w:p>
    <w:p w:rsidR="00DC75FA" w:rsidRDefault="00887D84">
      <w:pPr>
        <w:spacing w:after="0"/>
        <w:jc w:val="both"/>
        <w:rPr>
          <w:rFonts w:ascii="Times New Roman" w:hAnsi="Times New Roman" w:cs="Times New Roman"/>
        </w:rPr>
      </w:pPr>
      <w:r>
        <w:rPr>
          <w:rFonts w:ascii="Times New Roman" w:hAnsi="Times New Roman" w:cs="Times New Roman"/>
        </w:rPr>
        <w:t xml:space="preserve">- Strategia rozwoju ponadlokalnego ma zawierać wnioski z diagnozy, o której mowa w art. 10a ust. 1 ustawy z dnia 6 grudnia 2006 r. o zasadach prowadzenia polityki rozwoju (Dz. U. z 2019 r. poz. 1295 i 2020 oraz z 2020 r. poz. 1378), przygotowanej na potrzeby tej strategii, </w:t>
      </w:r>
    </w:p>
    <w:p w:rsidR="00DC75FA" w:rsidRDefault="00887D84">
      <w:pPr>
        <w:spacing w:after="0"/>
        <w:jc w:val="both"/>
        <w:rPr>
          <w:rFonts w:ascii="Times New Roman" w:hAnsi="Times New Roman" w:cs="Times New Roman"/>
        </w:rPr>
      </w:pPr>
      <w:r>
        <w:rPr>
          <w:rFonts w:ascii="Times New Roman" w:hAnsi="Times New Roman" w:cs="Times New Roman"/>
        </w:rPr>
        <w:t>- Strategia rozwoju ponadlokalnego ma określać w szczególności:</w:t>
      </w:r>
    </w:p>
    <w:p w:rsidR="00DC75FA" w:rsidRDefault="00887D84">
      <w:pPr>
        <w:spacing w:after="0"/>
        <w:jc w:val="both"/>
        <w:rPr>
          <w:rFonts w:ascii="Times New Roman" w:hAnsi="Times New Roman" w:cs="Times New Roman"/>
        </w:rPr>
      </w:pPr>
      <w:r>
        <w:rPr>
          <w:rFonts w:ascii="Times New Roman" w:hAnsi="Times New Roman" w:cs="Times New Roman"/>
        </w:rPr>
        <w:t>1) cele strategiczne rozwoju w wymiarze społecznym, gospodarczym i przestrzennym;</w:t>
      </w:r>
    </w:p>
    <w:p w:rsidR="00DC75FA" w:rsidRDefault="00887D84">
      <w:pPr>
        <w:spacing w:after="0"/>
        <w:jc w:val="both"/>
        <w:rPr>
          <w:rFonts w:ascii="Times New Roman" w:hAnsi="Times New Roman" w:cs="Times New Roman"/>
        </w:rPr>
      </w:pPr>
      <w:r>
        <w:rPr>
          <w:rFonts w:ascii="Times New Roman" w:hAnsi="Times New Roman" w:cs="Times New Roman"/>
        </w:rPr>
        <w:t>2) kierunki działań podejmowanych dla osiągnięcia celów strategicznych;</w:t>
      </w:r>
    </w:p>
    <w:p w:rsidR="00DC75FA" w:rsidRDefault="00887D84">
      <w:pPr>
        <w:spacing w:after="0"/>
        <w:jc w:val="both"/>
        <w:rPr>
          <w:rFonts w:ascii="Times New Roman" w:hAnsi="Times New Roman" w:cs="Times New Roman"/>
        </w:rPr>
      </w:pPr>
      <w:r>
        <w:rPr>
          <w:rFonts w:ascii="Times New Roman" w:hAnsi="Times New Roman" w:cs="Times New Roman"/>
        </w:rPr>
        <w:t>3) oczekiwane rezultaty planowanych działań, w tym w wymiarze przestrzennym, oraz wskaźniki ich osiągnięcia;</w:t>
      </w:r>
    </w:p>
    <w:p w:rsidR="00DC75FA" w:rsidRDefault="00887D84">
      <w:pPr>
        <w:spacing w:after="0"/>
        <w:jc w:val="both"/>
        <w:rPr>
          <w:rFonts w:ascii="Times New Roman" w:hAnsi="Times New Roman" w:cs="Times New Roman"/>
        </w:rPr>
      </w:pPr>
      <w:r>
        <w:rPr>
          <w:rFonts w:ascii="Times New Roman" w:hAnsi="Times New Roman" w:cs="Times New Roman"/>
        </w:rPr>
        <w:t>4) model struktury funkcjonalno-przestrzennej porozumienia partnerskiego gmin;</w:t>
      </w:r>
    </w:p>
    <w:p w:rsidR="00DC75FA" w:rsidRDefault="00887D84">
      <w:pPr>
        <w:spacing w:after="0"/>
        <w:jc w:val="both"/>
        <w:rPr>
          <w:rFonts w:ascii="Times New Roman" w:hAnsi="Times New Roman" w:cs="Times New Roman"/>
        </w:rPr>
      </w:pPr>
      <w:r>
        <w:rPr>
          <w:rFonts w:ascii="Times New Roman" w:hAnsi="Times New Roman" w:cs="Times New Roman"/>
        </w:rPr>
        <w:t>5) ustalenia i rekomendacje w zakresie kształtowania i prowadzenia polityki przestrzennej w obszarze funkcjonalnym.</w:t>
      </w:r>
    </w:p>
    <w:p w:rsidR="00DC75FA" w:rsidRDefault="00887D84">
      <w:pPr>
        <w:spacing w:after="0"/>
        <w:jc w:val="both"/>
        <w:rPr>
          <w:rFonts w:ascii="Times New Roman" w:hAnsi="Times New Roman" w:cs="Times New Roman"/>
        </w:rPr>
      </w:pPr>
      <w:r>
        <w:rPr>
          <w:rFonts w:ascii="Times New Roman" w:hAnsi="Times New Roman" w:cs="Times New Roman"/>
        </w:rPr>
        <w:t>6) obszary strategicznej interwencji określone w strategii rozwoju województwa, o której mowa w art. 11 ust. 1 ustawy z dnia 5 czerwca 1998 r. o samorządzie województwa (Dz. U. z 2019 r. poz. 512, 1571 i 1815 oraz z 2020 r. poz. 1378), wraz z zakresem planowanych działań;</w:t>
      </w:r>
    </w:p>
    <w:p w:rsidR="00DC75FA" w:rsidRDefault="00887D84">
      <w:pPr>
        <w:spacing w:after="0"/>
        <w:jc w:val="both"/>
        <w:rPr>
          <w:rFonts w:ascii="Times New Roman" w:hAnsi="Times New Roman" w:cs="Times New Roman"/>
        </w:rPr>
      </w:pPr>
      <w:r>
        <w:rPr>
          <w:rFonts w:ascii="Times New Roman" w:hAnsi="Times New Roman" w:cs="Times New Roman"/>
        </w:rPr>
        <w:t>7) obszary strategicznej interwencji kluczowe dla gmin, jeżeli takie zidentyfikowano, wraz z zakresem planowanych działań;</w:t>
      </w:r>
    </w:p>
    <w:p w:rsidR="00DC75FA" w:rsidRDefault="00887D84">
      <w:pPr>
        <w:spacing w:after="0"/>
        <w:jc w:val="both"/>
        <w:rPr>
          <w:rFonts w:ascii="Times New Roman" w:hAnsi="Times New Roman" w:cs="Times New Roman"/>
        </w:rPr>
      </w:pPr>
      <w:r>
        <w:rPr>
          <w:rFonts w:ascii="Times New Roman" w:hAnsi="Times New Roman" w:cs="Times New Roman"/>
        </w:rPr>
        <w:t>8) system realizacji strategii, w tym wytyczne do sporządzania dokumentów wykonawczych;</w:t>
      </w:r>
    </w:p>
    <w:p w:rsidR="00DC75FA" w:rsidRDefault="00887D84">
      <w:pPr>
        <w:spacing w:after="0"/>
        <w:jc w:val="both"/>
        <w:rPr>
          <w:rFonts w:ascii="Times New Roman" w:hAnsi="Times New Roman" w:cs="Times New Roman"/>
        </w:rPr>
      </w:pPr>
      <w:r>
        <w:rPr>
          <w:rFonts w:ascii="Times New Roman" w:hAnsi="Times New Roman" w:cs="Times New Roman"/>
        </w:rPr>
        <w:t>9) ramy finansowe i źródła finansowania.</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Strategię rozwoju ponadlokalnego sporządza się w formie tekstowej oraz graficznej zawierającej zobrazowanie treści, o których mowa w szczególności dotyczące obszarów strategicznej interwencji wskazanej w dokumentach strategicznych poziomu regionalnego i ponadlokalnego.</w:t>
      </w:r>
    </w:p>
    <w:p w:rsidR="00DC75FA" w:rsidRDefault="00887D84">
      <w:pPr>
        <w:spacing w:after="0"/>
        <w:jc w:val="both"/>
        <w:rPr>
          <w:rFonts w:ascii="Times New Roman" w:hAnsi="Times New Roman" w:cs="Times New Roman"/>
        </w:rPr>
      </w:pPr>
      <w:r>
        <w:rPr>
          <w:rFonts w:ascii="Times New Roman" w:hAnsi="Times New Roman" w:cs="Times New Roman"/>
        </w:rPr>
        <w:t>Zgodnie z art. 6 ust. 3. Ustawy o zasadach prowadzenia polityki rozwoju, wskazuje na obowiązek przeprowadzenia szerokich konsultacji społecznych: „Projekt strategii rozwoju ponadlokalnego oraz strategii rozwoju gminy podlega konsultacjom w szczególności z: sąsiednimi gminami i ich związkami, lokalnymi partnerami społecznymi i gospodarczymi, mieszkańcami gmin – w przypadku strategii rozwoju ponadlokalnego albo gminy – w przypadku strategii rozwoju gminy, oraz z właściwym dyrektorem regionalnego zarządu gospodarki wodnej Państwowego Gospodarstwa Wodnego Wody Polskie”.</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 xml:space="preserve">Wszystkie wymienione powyżej etapy przygotowania dokumentu oraz wymogi co do jego treści zostały zastosowane i wdrożone w procesie przygotowania Strategii. </w:t>
      </w:r>
    </w:p>
    <w:p w:rsidR="00DC75FA" w:rsidRDefault="00DC75FA">
      <w:pPr>
        <w:spacing w:after="0"/>
        <w:jc w:val="both"/>
        <w:rPr>
          <w:rFonts w:ascii="Times New Roman" w:hAnsi="Times New Roman" w:cs="Times New Roman"/>
        </w:rPr>
      </w:pPr>
    </w:p>
    <w:p w:rsidR="00DC75FA" w:rsidRDefault="00887D84">
      <w:pPr>
        <w:ind w:left="284" w:hanging="284"/>
        <w:rPr>
          <w:rFonts w:ascii="Times New Roman" w:hAnsi="Times New Roman" w:cs="Times New Roman"/>
        </w:rPr>
      </w:pPr>
      <w:r>
        <w:br w:type="page"/>
      </w:r>
    </w:p>
    <w:p w:rsidR="00DC75FA" w:rsidRDefault="00887D84">
      <w:pPr>
        <w:pStyle w:val="Nagwek1"/>
        <w:numPr>
          <w:ilvl w:val="0"/>
          <w:numId w:val="1"/>
        </w:numPr>
        <w:rPr>
          <w:rFonts w:ascii="Times New Roman" w:hAnsi="Times New Roman" w:cs="Times New Roman"/>
        </w:rPr>
      </w:pPr>
      <w:bookmarkStart w:id="2" w:name="_Toc105754687"/>
      <w:r>
        <w:rPr>
          <w:rFonts w:ascii="Times New Roman" w:hAnsi="Times New Roman" w:cs="Times New Roman"/>
        </w:rPr>
        <w:lastRenderedPageBreak/>
        <w:t>Przesłanki opracowania Strategii</w:t>
      </w:r>
      <w:bookmarkEnd w:id="2"/>
      <w:r>
        <w:rPr>
          <w:rFonts w:ascii="Times New Roman" w:hAnsi="Times New Roman" w:cs="Times New Roman"/>
        </w:rPr>
        <w:t xml:space="preserve"> </w:t>
      </w:r>
    </w:p>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Zgodnie z Art. 10g. ust. 1. Ustawy o samorządzie gminnym [</w:t>
      </w:r>
      <w:proofErr w:type="spellStart"/>
      <w:r>
        <w:rPr>
          <w:rFonts w:ascii="Times New Roman" w:hAnsi="Times New Roman" w:cs="Times New Roman"/>
        </w:rPr>
        <w:t>t.j</w:t>
      </w:r>
      <w:proofErr w:type="spellEnd"/>
      <w:r>
        <w:rPr>
          <w:rFonts w:ascii="Times New Roman" w:hAnsi="Times New Roman" w:cs="Times New Roman"/>
        </w:rPr>
        <w:t>. Dz. U. z 2020 r. poz. 713, 1378]: Gminy sąsiadujące, powiązane ze sobą funkcjonalnie, mogą opracować strategię rozwoju ponadlokalnego będącą wspólną strategią rozwoju tych gmin w zakresie ich terytorium. Możliwość taka została wprowadzona w Ustawie o zasadach prowadzenia polityki rozwoju w nowelizacji z 2020 roku [Dz. U. z 2019 r. poz. 1295, 2020, z 2020 r. poz. 1378, 2327]. Wspomniana ustawa wprowadza pojęcie obszaru funkcjonalnego. Zgodnie z definicją powołaną w Art. 5. Ust. 6a obszar funkcjonalny to obszar, na którym występuje względnie wyodrębniający się, intensywny i otwarty system powiązań społecznych, gospodarczych lub przyrodniczych, uwarunkowanych cechami środowiska geograficznego (przyrodniczego i antropogenicznego).</w:t>
      </w:r>
    </w:p>
    <w:p w:rsidR="00DC75FA" w:rsidRDefault="00887D84">
      <w:pPr>
        <w:jc w:val="both"/>
        <w:rPr>
          <w:rFonts w:ascii="Times New Roman" w:hAnsi="Times New Roman" w:cs="Times New Roman"/>
        </w:rPr>
      </w:pPr>
      <w:r>
        <w:rPr>
          <w:rFonts w:ascii="Times New Roman" w:hAnsi="Times New Roman" w:cs="Times New Roman"/>
        </w:rPr>
        <w:t>Strategie ponadlokalne są odpowiedzią na potrzebę wspólnego planowania rozwoju w obrębie kilku gmin powiązanych ze sobą funkcjonalnie. Docelowo wspólne programowanie strategicznie wpłynie na jakość realizowanych zadań oraz wpłynie na możliwości pozyskiwania funduszy unijnych przez jednostki samorządu współpracujące ze sobą w ramach porozumienia ponadlokalnego.</w:t>
      </w:r>
    </w:p>
    <w:p w:rsidR="00DC75FA" w:rsidRDefault="00887D84">
      <w:pPr>
        <w:jc w:val="both"/>
        <w:rPr>
          <w:rFonts w:ascii="Times New Roman" w:hAnsi="Times New Roman" w:cs="Times New Roman"/>
        </w:rPr>
      </w:pPr>
      <w:r>
        <w:rPr>
          <w:rFonts w:ascii="Times New Roman" w:hAnsi="Times New Roman" w:cs="Times New Roman"/>
        </w:rPr>
        <w:t>Jak wynika z projektu Umowy partnerstwa (styczeń 2021) gminy posiadające strategię ponadlokalną mogą liczyć na dodatkowe środki unijne w ramach 5 celu polityki Unii Europejskiej: „Europa bliżej obywateli”.</w:t>
      </w:r>
      <w:r>
        <w:rPr>
          <w:rStyle w:val="Zakotwiczenieprzypisudolnego"/>
          <w:rFonts w:ascii="Times New Roman" w:hAnsi="Times New Roman" w:cs="Times New Roman"/>
        </w:rPr>
        <w:footnoteReference w:id="1"/>
      </w:r>
      <w:r>
        <w:rPr>
          <w:rFonts w:ascii="Times New Roman" w:hAnsi="Times New Roman" w:cs="Times New Roman"/>
        </w:rPr>
        <w:t xml:space="preserve"> W ramach celu wspierana będzie realizacja przygotowanych na poziomie ponadlokalnym (i lokalnym) strategii ukierunkowanych na zmiany strukturalne danego obszaru. Strategie te powinny być zgodne z priorytetami Unii Europejskiej i celami zdefiniowanymi na poziomie: krajowym w Krajowej Strategii Rozwoju Regionalnego oraz regionalnym w Strategii Rozwoju Województwa. Ten nowy, przekrojowy Cel Polityki wymaga specyficznego podejścia, zarówno na etapie programowania, jak i później wdrażania. Jak wynika z projektu Umowy Partnerstwa: „Potrzeba koncentracji wsparcia na ośrodkach słabszych wynika również z wciąż utrzymującego się w Polsce znacznego zróżnicowania wewnątrzregionalnego”. </w:t>
      </w:r>
    </w:p>
    <w:p w:rsidR="00DC75FA" w:rsidRDefault="00887D84">
      <w:pPr>
        <w:jc w:val="both"/>
        <w:rPr>
          <w:rFonts w:ascii="Times New Roman" w:hAnsi="Times New Roman" w:cs="Times New Roman"/>
        </w:rPr>
      </w:pPr>
      <w:r>
        <w:rPr>
          <w:rFonts w:ascii="Times New Roman" w:hAnsi="Times New Roman" w:cs="Times New Roman"/>
        </w:rPr>
        <w:t>W rozwiązywaniu problemów na poziomie lokalnym sprzyja systematycznie wzrastająca świadomość polskich samorządów lokalnych i regionalnych dotycząca znaczenia korzyści płynących ze współpracy. Bardzo ważnym czynnikiem stymulującym współpracę były środki z funduszy europejskich przeznaczone na realizację przedsięwzięć oddziałujących na jakość życia na tych obszarach. Zdarzenia wywołane pandemią COVID jeszcze mocniej unaoczniły skalę problemów na obszarach o najtrudniejszej sytuacji ekonomicznej (utrudniony dostęp do podstawowych usług publicznych w szczególności zdrowotnych i edukacyjnych, brak dostępu do szerokopasmowego Internetu). Kryzys dotknął zwłaszcza te jednostki samorządu terytorialnego, w których dochody, zarówno samorządów, jak i lokalnych przedsiębiorców, opierają się na usługach z branży turystycznej i związanych z kulturą.</w:t>
      </w:r>
    </w:p>
    <w:p w:rsidR="00DC75FA" w:rsidRDefault="00887D84">
      <w:pPr>
        <w:jc w:val="both"/>
        <w:rPr>
          <w:rFonts w:ascii="Times New Roman" w:hAnsi="Times New Roman" w:cs="Times New Roman"/>
        </w:rPr>
      </w:pPr>
      <w:r>
        <w:rPr>
          <w:rFonts w:ascii="Times New Roman" w:hAnsi="Times New Roman" w:cs="Times New Roman"/>
        </w:rPr>
        <w:t xml:space="preserve">Wyzwanie polegające na odbudowie lokalnej gospodarki, w tym w sytuacji kryzysu epidemicznego nakłada na samorządy na tych obszarach konieczność zaangażowania się w oddolne, strategiczne planowanie i zarządzanie procesami rozwojowymi w sposób zintegrowany (powiązany ze sobą), wspólnie z sąsiadami oraz innymi partnerami i różnymi podmiotami funkcjonującymi na danym terenie, w tym z mieszkańcami. Działania te muszą polegać zarówno na pełniejszym wykorzystaniu istniejących potencjałów i zbudowaniu nowych przewag konkurencyjnych, a także uwzględniać potrzeby zwiększania odporności lokalnych gospodarek na nieprzewidziane sytuacje kryzysowe, z wykorzystaniem trwałych rozwiązań zielonej gospodarki. </w:t>
      </w:r>
    </w:p>
    <w:p w:rsidR="00DC75FA" w:rsidRDefault="00887D84">
      <w:pPr>
        <w:jc w:val="both"/>
        <w:rPr>
          <w:rFonts w:ascii="Times New Roman" w:hAnsi="Times New Roman" w:cs="Times New Roman"/>
        </w:rPr>
      </w:pPr>
      <w:r>
        <w:rPr>
          <w:rFonts w:ascii="Times New Roman" w:hAnsi="Times New Roman" w:cs="Times New Roman"/>
        </w:rPr>
        <w:lastRenderedPageBreak/>
        <w:t xml:space="preserve">Strategie dla obszarów funkcjonalnych powinny koncentrować się na wykorzystaniu ich endogenicznych potencjałów w taki sposób, aby posiadane zasoby wzmocniły lokalną gospodarkę w zakresie wzrostu produktywności, skutecznej transformacji społeczno-gospodarczej realizującej cele UE i przy zaangażowaniu środowisk lokalnych: samorządów, podmiotów prywatnych, organizacji pozarządowych. z drugiej strony strategie mogą koncentrować się także na rozwiązywaniu problemów charakterystycznych dla danego terytorium, np. degradacja materialna i społeczna, konflikty przestrzenne itp. Wśród potencjałów, które powinny być wykorzystywane w rozwoju lokalnym znajdują się dziedzictwo kulturowe i walory turystyczne. Mogą one być źródłem podnoszących jakość życia aktywności społecznych, nowych usług, tworzyć miejsca pracy i zwiększać bazę podatkową Jednostek Samorządu Terytorialnego. </w:t>
      </w:r>
    </w:p>
    <w:p w:rsidR="00DC75FA" w:rsidRDefault="00887D84">
      <w:pPr>
        <w:jc w:val="both"/>
        <w:rPr>
          <w:rFonts w:ascii="Times New Roman" w:hAnsi="Times New Roman" w:cs="Times New Roman"/>
        </w:rPr>
      </w:pPr>
      <w:r>
        <w:rPr>
          <w:rFonts w:ascii="Times New Roman" w:hAnsi="Times New Roman" w:cs="Times New Roman"/>
        </w:rPr>
        <w:t xml:space="preserve">Szerokie możliwości działań w ramach 5 Celu Polityki Unii Europejskiej wymagają dobrej jakości strategii rozwoju na poziomie ponadlokalnym – właściwe określenie celów, nowatorskie i kreatywne podejście do rozwiązywania złożonych problemów i generowania impulsów rozwojowych, a także identyfikacja adekwatnych projektów – zarówno na poziomie ponadlokalnym jak i na poziomie lokalnym. </w:t>
      </w:r>
    </w:p>
    <w:p w:rsidR="00DC75FA" w:rsidRDefault="00DC75FA">
      <w:pPr>
        <w:jc w:val="both"/>
        <w:rPr>
          <w:rFonts w:ascii="Times New Roman" w:hAnsi="Times New Roman" w:cs="Times New Roman"/>
        </w:rPr>
      </w:pPr>
    </w:p>
    <w:p w:rsidR="00DC75FA" w:rsidRDefault="00887D84">
      <w:pPr>
        <w:pStyle w:val="Nagwek1"/>
        <w:numPr>
          <w:ilvl w:val="0"/>
          <w:numId w:val="1"/>
        </w:numPr>
        <w:rPr>
          <w:rFonts w:ascii="Times New Roman" w:hAnsi="Times New Roman" w:cs="Times New Roman"/>
        </w:rPr>
      </w:pPr>
      <w:bookmarkStart w:id="3" w:name="_Toc105754688"/>
      <w:r>
        <w:rPr>
          <w:rFonts w:ascii="Times New Roman" w:hAnsi="Times New Roman" w:cs="Times New Roman"/>
        </w:rPr>
        <w:t>Zakres i metodyka opracowania strategii</w:t>
      </w:r>
      <w:bookmarkEnd w:id="3"/>
    </w:p>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Zakres projektu strategii rozwoju ponadlokalnego określa art. 10g. ust. 3. Ustawy o samorządzie gminnym: „Do strategii rozwoju ponadlokalnego przepisy art. 10e ust. 2–4 stosuje się odpowiednio”, to jest:</w:t>
      </w:r>
    </w:p>
    <w:p w:rsidR="00DC75FA" w:rsidRDefault="00887D84">
      <w:pPr>
        <w:jc w:val="both"/>
        <w:rPr>
          <w:rFonts w:ascii="Times New Roman" w:hAnsi="Times New Roman" w:cs="Times New Roman"/>
        </w:rPr>
      </w:pPr>
      <w:r>
        <w:rPr>
          <w:rFonts w:ascii="Times New Roman" w:hAnsi="Times New Roman" w:cs="Times New Roman"/>
        </w:rPr>
        <w:t>- Strategia rozwoju ponadlokalnego ma być spójna ze strategią rozwoju województwa oraz strategiami lokalnymi i lokalnymi programami rozwoju</w:t>
      </w:r>
    </w:p>
    <w:p w:rsidR="00DC75FA" w:rsidRDefault="00887D84">
      <w:pPr>
        <w:jc w:val="both"/>
        <w:rPr>
          <w:rFonts w:ascii="Times New Roman" w:hAnsi="Times New Roman" w:cs="Times New Roman"/>
        </w:rPr>
      </w:pPr>
      <w:r>
        <w:rPr>
          <w:rFonts w:ascii="Times New Roman" w:hAnsi="Times New Roman" w:cs="Times New Roman"/>
        </w:rPr>
        <w:t xml:space="preserve">- Strategia rozwoju ponadlokalnego ma zawierać wnioski z diagnozy, o której mowa w art. 10a ust. 1 ustawy z dnia 6 grudnia 2006 r. o zasadach prowadzenia polityki rozwoju (Dz. U. z 2019 r. poz. 1295 i 2020 oraz z 2020 r. poz. 1378), przygotowanej na potrzeby tej strategii, </w:t>
      </w:r>
    </w:p>
    <w:p w:rsidR="00DC75FA" w:rsidRDefault="00887D84">
      <w:pPr>
        <w:spacing w:after="0"/>
        <w:jc w:val="both"/>
        <w:rPr>
          <w:rFonts w:ascii="Times New Roman" w:hAnsi="Times New Roman" w:cs="Times New Roman"/>
        </w:rPr>
      </w:pPr>
      <w:r>
        <w:rPr>
          <w:rFonts w:ascii="Times New Roman" w:hAnsi="Times New Roman" w:cs="Times New Roman"/>
        </w:rPr>
        <w:t>- Strategia rozwoju ponadlokalnego ma określać w szczególności:</w:t>
      </w:r>
    </w:p>
    <w:p w:rsidR="00DC75FA" w:rsidRDefault="00887D84">
      <w:pPr>
        <w:spacing w:after="0"/>
        <w:jc w:val="both"/>
        <w:rPr>
          <w:rFonts w:ascii="Times New Roman" w:hAnsi="Times New Roman" w:cs="Times New Roman"/>
        </w:rPr>
      </w:pPr>
      <w:r>
        <w:rPr>
          <w:rFonts w:ascii="Times New Roman" w:hAnsi="Times New Roman" w:cs="Times New Roman"/>
        </w:rPr>
        <w:t>1) cele strategiczne rozwoju w wymiarze społecznym, gospodarczym i przestrzennym;</w:t>
      </w:r>
    </w:p>
    <w:p w:rsidR="00DC75FA" w:rsidRDefault="00887D84">
      <w:pPr>
        <w:spacing w:after="0"/>
        <w:jc w:val="both"/>
        <w:rPr>
          <w:rFonts w:ascii="Times New Roman" w:hAnsi="Times New Roman" w:cs="Times New Roman"/>
        </w:rPr>
      </w:pPr>
      <w:r>
        <w:rPr>
          <w:rFonts w:ascii="Times New Roman" w:hAnsi="Times New Roman" w:cs="Times New Roman"/>
        </w:rPr>
        <w:t>2) kierunki działań podejmowanych dla osiągnięcia celów strategicznych;</w:t>
      </w:r>
    </w:p>
    <w:p w:rsidR="00DC75FA" w:rsidRDefault="00887D84">
      <w:pPr>
        <w:spacing w:after="0"/>
        <w:jc w:val="both"/>
        <w:rPr>
          <w:rFonts w:ascii="Times New Roman" w:hAnsi="Times New Roman" w:cs="Times New Roman"/>
        </w:rPr>
      </w:pPr>
      <w:r>
        <w:rPr>
          <w:rFonts w:ascii="Times New Roman" w:hAnsi="Times New Roman" w:cs="Times New Roman"/>
        </w:rPr>
        <w:t>3) oczekiwane rezultaty planowanych działań, w tym w wymiarze przestrzennym, oraz wskaźniki ich osiągnięcia;</w:t>
      </w:r>
    </w:p>
    <w:p w:rsidR="00DC75FA" w:rsidRDefault="00887D84">
      <w:pPr>
        <w:spacing w:after="0"/>
        <w:jc w:val="both"/>
        <w:rPr>
          <w:rFonts w:ascii="Times New Roman" w:hAnsi="Times New Roman" w:cs="Times New Roman"/>
        </w:rPr>
      </w:pPr>
      <w:r>
        <w:rPr>
          <w:rFonts w:ascii="Times New Roman" w:hAnsi="Times New Roman" w:cs="Times New Roman"/>
        </w:rPr>
        <w:t>4) model struktury funkcjonalno-przestrzennej porozumienia partnerskiego gmin;</w:t>
      </w:r>
    </w:p>
    <w:p w:rsidR="00DC75FA" w:rsidRDefault="00887D84">
      <w:pPr>
        <w:spacing w:after="0"/>
        <w:jc w:val="both"/>
        <w:rPr>
          <w:rFonts w:ascii="Times New Roman" w:hAnsi="Times New Roman" w:cs="Times New Roman"/>
        </w:rPr>
      </w:pPr>
      <w:r>
        <w:rPr>
          <w:rFonts w:ascii="Times New Roman" w:hAnsi="Times New Roman" w:cs="Times New Roman"/>
        </w:rPr>
        <w:t>5) ustalenia i rekomendacje w zakresie kształtowania i prowadzenia polityki przestrzennej w obszarze funkcjonalnym.</w:t>
      </w:r>
    </w:p>
    <w:p w:rsidR="00DC75FA" w:rsidRDefault="00887D84">
      <w:pPr>
        <w:spacing w:after="0"/>
        <w:jc w:val="both"/>
        <w:rPr>
          <w:rFonts w:ascii="Times New Roman" w:hAnsi="Times New Roman" w:cs="Times New Roman"/>
        </w:rPr>
      </w:pPr>
      <w:r>
        <w:rPr>
          <w:rFonts w:ascii="Times New Roman" w:hAnsi="Times New Roman" w:cs="Times New Roman"/>
        </w:rPr>
        <w:t>6) obszary strategicznej interwencji określone w strategii rozwoju województwa, o której mowa w art. 11 ust. 1 ustawy z dnia 5 czerwca 1998 r. o samorządzie województwa (Dz. U. z 2019 r. poz. 512, 1571 i 1815 oraz z 2020 r. poz. 1378), wraz z zakresem planowanych działań;</w:t>
      </w:r>
    </w:p>
    <w:p w:rsidR="00DC75FA" w:rsidRDefault="00887D84">
      <w:pPr>
        <w:spacing w:after="0"/>
        <w:jc w:val="both"/>
        <w:rPr>
          <w:rFonts w:ascii="Times New Roman" w:hAnsi="Times New Roman" w:cs="Times New Roman"/>
        </w:rPr>
      </w:pPr>
      <w:r>
        <w:rPr>
          <w:rFonts w:ascii="Times New Roman" w:hAnsi="Times New Roman" w:cs="Times New Roman"/>
        </w:rPr>
        <w:t>7) obszary strategicznej interwencji kluczowe dla gmin, jeżeli takie zidentyfikowano, wraz z zakresem planowanych działań;</w:t>
      </w:r>
    </w:p>
    <w:p w:rsidR="00DC75FA" w:rsidRDefault="00887D84">
      <w:pPr>
        <w:spacing w:after="0"/>
        <w:jc w:val="both"/>
        <w:rPr>
          <w:rFonts w:ascii="Times New Roman" w:hAnsi="Times New Roman" w:cs="Times New Roman"/>
        </w:rPr>
      </w:pPr>
      <w:r>
        <w:rPr>
          <w:rFonts w:ascii="Times New Roman" w:hAnsi="Times New Roman" w:cs="Times New Roman"/>
        </w:rPr>
        <w:t>8) system realizacji strategii, w tym wytyczne do sporządzania dokumentów wykonawczych;</w:t>
      </w:r>
    </w:p>
    <w:p w:rsidR="00DC75FA" w:rsidRDefault="00887D84">
      <w:pPr>
        <w:spacing w:after="0"/>
        <w:jc w:val="both"/>
        <w:rPr>
          <w:rFonts w:ascii="Times New Roman" w:hAnsi="Times New Roman" w:cs="Times New Roman"/>
        </w:rPr>
      </w:pPr>
      <w:r>
        <w:rPr>
          <w:rFonts w:ascii="Times New Roman" w:hAnsi="Times New Roman" w:cs="Times New Roman"/>
        </w:rPr>
        <w:t>9) ramy finansowe i źródła finansowania.</w:t>
      </w:r>
    </w:p>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Strategię rozwoju ponadlokalnego sporządza się w formie tekstowej oraz graficznej zawierającej zobrazowanie treści, o których mowa w szczególności dotyczące obszarów strategicznej interwencji wskazanej w dokumentach strategicznych poziomu regionalnego i ponadlokalnego.</w:t>
      </w:r>
    </w:p>
    <w:p w:rsidR="00DC75FA" w:rsidRDefault="00887D84">
      <w:pPr>
        <w:jc w:val="both"/>
        <w:rPr>
          <w:rFonts w:ascii="Times New Roman" w:hAnsi="Times New Roman" w:cs="Times New Roman"/>
        </w:rPr>
      </w:pPr>
      <w:r>
        <w:rPr>
          <w:rFonts w:ascii="Times New Roman" w:hAnsi="Times New Roman" w:cs="Times New Roman"/>
        </w:rPr>
        <w:lastRenderedPageBreak/>
        <w:t xml:space="preserve">Zgodnie z art. 6 ust. 3. Ustawy o zasadach prowadzenia polityki rozwoju, wskazuje na obowiązek przeprowadzenia szerokich konsultacji społecznych: „Projekt strategii rozwoju ponadlokalnego oraz strategii rozwoju gminy podlega konsultacjom w szczególności z: sąsiednimi gminami i ich związkami, lokalnymi partnerami społecznymi i gospodarczymi, mieszkańcami gmin – w przypadku strategii rozwoju ponadlokalnego albo gminy – w przypadku strategii rozwoju gminy, oraz z właściwym dyrektorem regionalnego zarządu gospodarki wodnej Państwowego Gospodarstwa Wodnego Wody Polskie”. </w:t>
      </w:r>
    </w:p>
    <w:p w:rsidR="00DC75FA" w:rsidRDefault="00887D84">
      <w:pPr>
        <w:jc w:val="both"/>
        <w:rPr>
          <w:rFonts w:ascii="Times New Roman" w:hAnsi="Times New Roman" w:cs="Times New Roman"/>
        </w:rPr>
      </w:pPr>
      <w:r>
        <w:rPr>
          <w:rFonts w:ascii="Times New Roman" w:hAnsi="Times New Roman" w:cs="Times New Roman"/>
        </w:rPr>
        <w:t>Metodyka zastosowana w strategii opiera się na poniższych zasadach, które odnoszą się zarówno do kolejnych etapów opracowania dokumentu, jak też do fazy wdrożeniowej strategii:</w:t>
      </w:r>
    </w:p>
    <w:tbl>
      <w:tblPr>
        <w:tblStyle w:val="GridTable5DarkAccent5"/>
        <w:tblW w:w="9062" w:type="dxa"/>
        <w:shd w:val="clear" w:color="auto" w:fill="D9E2F3"/>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C75FA" w:rsidRDefault="00887D8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Model ekspercko – partycypacyjny</w:t>
            </w:r>
          </w:p>
        </w:tc>
      </w:tr>
    </w:tbl>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W pracach nad strategią zastosowano model ekspercko – partycypacyjny zakładający wiodącą rolę ekspertów zewnętrznych oraz udział przedstawicieli różnych grup interesariuszy w procesie opracowania i konsultowania dokumentu strategii.</w:t>
      </w:r>
    </w:p>
    <w:p w:rsidR="00DC75FA" w:rsidRDefault="00DC75FA">
      <w:pPr>
        <w:jc w:val="both"/>
        <w:rPr>
          <w:rFonts w:ascii="Times New Roman" w:hAnsi="Times New Roman" w:cs="Times New Roman"/>
        </w:rPr>
      </w:pPr>
    </w:p>
    <w:tbl>
      <w:tblPr>
        <w:tblStyle w:val="GridTable5DarkAccent5"/>
        <w:tblW w:w="9062" w:type="dxa"/>
        <w:shd w:val="clear" w:color="auto" w:fill="D9E2F3"/>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C75FA" w:rsidRDefault="00887D8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Analiza danych, wnioski i cele rozwojowe</w:t>
            </w:r>
          </w:p>
        </w:tc>
      </w:tr>
    </w:tbl>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Dokonano analizy danych w obszarach społecznych, gospodarczych i środowiskowych pod kątem problemów i potencjałów rozwojowych obszaru gmin ziemi łukowskiej. Zidentyfikowano kluczowe zjawiska i trendy wpływające na rozwój obszaru.</w:t>
      </w:r>
    </w:p>
    <w:p w:rsidR="00DC75FA" w:rsidRDefault="00887D84">
      <w:pPr>
        <w:jc w:val="both"/>
        <w:rPr>
          <w:rFonts w:ascii="Times New Roman" w:hAnsi="Times New Roman" w:cs="Times New Roman"/>
        </w:rPr>
      </w:pPr>
      <w:r>
        <w:rPr>
          <w:rFonts w:ascii="Times New Roman" w:hAnsi="Times New Roman" w:cs="Times New Roman"/>
        </w:rPr>
        <w:t xml:space="preserve">Sformułowano wnioski i określono wizję rozwoju obszaru oraz zdefiniowano cel strategiczny i cele operacyjne, dające szansę na stworzenie i utrzymanie przewagi konkurencyjnej, w taki sposób aby dać pierwszeństwo mobilizacji lokalnych czynników rozwoju. Określono kierunki działań służące realizacji celów oraz wskazano najważniejsze obszary aktywności samorządów w latach 2021 – 2030. </w:t>
      </w:r>
      <w:r>
        <w:rPr>
          <w:rFonts w:ascii="Times New Roman" w:hAnsi="Times New Roman" w:cs="Times New Roman"/>
        </w:rPr>
        <w:br/>
      </w:r>
      <w:r>
        <w:rPr>
          <w:rFonts w:ascii="Times New Roman" w:hAnsi="Times New Roman" w:cs="Times New Roman"/>
        </w:rPr>
        <w:br/>
        <w:t>Definiując cele i kierunki działań strategicznych korzystano z dotychczasowych doświadczeń związanych z planowaniem i wdrażaniem polityki rozwoju.</w:t>
      </w:r>
    </w:p>
    <w:p w:rsidR="00DC75FA" w:rsidRDefault="00DC75FA">
      <w:pPr>
        <w:jc w:val="both"/>
        <w:rPr>
          <w:rFonts w:ascii="Times New Roman" w:hAnsi="Times New Roman" w:cs="Times New Roman"/>
        </w:rPr>
      </w:pP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sz w:val="32"/>
                <w:szCs w:val="32"/>
              </w:rPr>
            </w:pPr>
            <w:r>
              <w:rPr>
                <w:rFonts w:ascii="Times New Roman" w:hAnsi="Times New Roman" w:cs="Times New Roman"/>
                <w:color w:val="FFFFFF" w:themeColor="background1"/>
                <w:sz w:val="32"/>
                <w:szCs w:val="32"/>
              </w:rPr>
              <w:t>Koncentracja wsparcia</w:t>
            </w:r>
          </w:p>
        </w:tc>
      </w:tr>
    </w:tbl>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 xml:space="preserve">Ograniczono liczbę obszarów rozwojowych i celów do takich, które w procesie tworzenia strategii uznano za priorytetowe i mające decydujący wpływ na realizacje wizji rozwoju obszaru gmin: Cyców, Ludwin, Milejów, Puchaczów, Urszulin tworzących obszar funkcjonalny: Zielone Zagłębie. </w:t>
      </w:r>
      <w:r>
        <w:rPr>
          <w:rFonts w:ascii="Times New Roman" w:hAnsi="Times New Roman" w:cs="Times New Roman"/>
        </w:rPr>
        <w:br/>
        <w:t>W strategii nie dążono do tego, aby każdy obszar aktywności gmin uznać za strategiczny. Nie oznacza to rezygnacji z bieżących działań samorządów, uznano jedynie, że część z nich ma mniejszy wpływ na osiągnięcie celów strategicznych.</w:t>
      </w:r>
    </w:p>
    <w:p w:rsidR="00DC75FA" w:rsidRDefault="00887D84">
      <w:pPr>
        <w:jc w:val="both"/>
        <w:rPr>
          <w:rFonts w:ascii="Times New Roman" w:hAnsi="Times New Roman" w:cs="Times New Roman"/>
        </w:rPr>
      </w:pPr>
      <w:r>
        <w:rPr>
          <w:rFonts w:ascii="Times New Roman" w:hAnsi="Times New Roman" w:cs="Times New Roman"/>
        </w:rPr>
        <w:t>Jakkolwiek w ramach prac zidentyfikowano cele priorytetowe pojedynczych gmin. Zidentyfikowane obszary wsparcia oraz zadania i projekty są komplementarne do obszarów wsparcia strategii ponadlokalnej. Strategia ponadlokalna, w załącznikach gminnych, określa również indywidualne cele i kierunki rozwoju pojedynczych gmin.</w:t>
      </w:r>
    </w:p>
    <w:p w:rsidR="00DC75FA" w:rsidRDefault="00DC75FA">
      <w:pPr>
        <w:jc w:val="both"/>
        <w:rPr>
          <w:rFonts w:ascii="Times New Roman" w:hAnsi="Times New Roman" w:cs="Times New Roman"/>
        </w:rPr>
      </w:pPr>
    </w:p>
    <w:p w:rsidR="00DC75FA" w:rsidRDefault="00DC75FA">
      <w:pPr>
        <w:jc w:val="both"/>
        <w:rPr>
          <w:rFonts w:ascii="Times New Roman" w:hAnsi="Times New Roman" w:cs="Times New Roman"/>
        </w:rPr>
      </w:pPr>
    </w:p>
    <w:p w:rsidR="00DC75FA" w:rsidRDefault="00DC75FA">
      <w:pPr>
        <w:jc w:val="both"/>
        <w:rPr>
          <w:rFonts w:ascii="Times New Roman" w:hAnsi="Times New Roman" w:cs="Times New Roman"/>
        </w:rPr>
      </w:pP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Wymiar terytorialny</w:t>
            </w:r>
          </w:p>
        </w:tc>
      </w:tr>
    </w:tbl>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Zastosowano zasady wynikające z podejścia terytorialnego i zintegrowanego planowania – zidentyfikowano społeczne, gospodarcze, środowiskowe i przestrzenne powiązania funkcjonalne, które występują na obszarze gmin: Cyców, Ludwin, Milejów, Puchaczów, Urszulin tworzących obszar funkcjonalny: Zielone Zagłębie oraz dostosowano zakres przedsięwzięć rozwojowych do specyfiki obszaru, tak aby były odpowiedzią na istniejące problemy i wyzwania. Skupiono się na tych funkcjach, które najbardziej wzmocnią wspólny potencjał rozwojowy gmin.</w:t>
      </w:r>
    </w:p>
    <w:p w:rsidR="00DC75FA" w:rsidRDefault="00DC75FA">
      <w:pPr>
        <w:jc w:val="both"/>
        <w:rPr>
          <w:rFonts w:ascii="Times New Roman" w:hAnsi="Times New Roman" w:cs="Times New Roman"/>
        </w:rPr>
      </w:pPr>
    </w:p>
    <w:tbl>
      <w:tblPr>
        <w:tblStyle w:val="GridTable5DarkAccent5"/>
        <w:tblW w:w="9062" w:type="dxa"/>
        <w:shd w:val="clear" w:color="auto" w:fill="D9E2F3"/>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C75FA" w:rsidRDefault="00887D8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Partycypacja społeczna</w:t>
            </w:r>
          </w:p>
        </w:tc>
      </w:tr>
    </w:tbl>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Eksperci zewnętrzni oraz przedstawiciele władz samorządowych realizowali proces opracowania strategii zgodnie z dobrymi praktykami partycypacji społecznej i partnerstwa. Położono nacisk na uspołecznienie kolejnych etapów prac na strategią, przy wykorzystaniu doświadczeń lokalnej społeczności, podmiotów publicznych i prywatnych. Zasadę partnerstwa i współpracy z interesariuszami zastosowano również w proponowanym systemie wdrażania Strategii.</w:t>
      </w:r>
    </w:p>
    <w:p w:rsidR="00DC75FA" w:rsidRDefault="00DC75FA">
      <w:pPr>
        <w:jc w:val="both"/>
        <w:rPr>
          <w:rFonts w:ascii="Times New Roman" w:hAnsi="Times New Roman" w:cs="Times New Roman"/>
        </w:rPr>
      </w:pP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System wdrażania</w:t>
            </w:r>
          </w:p>
        </w:tc>
      </w:tr>
    </w:tbl>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Opracowano przejrzysty system wdrażania Strategii w oparciu o zasadę partnerstwa i równości partnerów, wielopoziomowe zarządzanie oraz stałą współpracę interesariuszy, uwzględniając elastyczności przyjętych rozwiązań, tak by zwiększyć sprawność realizacji strategii i skuteczność wykorzystywania dostępnych funduszy.</w:t>
      </w:r>
    </w:p>
    <w:p w:rsidR="00DC75FA" w:rsidRDefault="00DC75FA">
      <w:pPr>
        <w:jc w:val="both"/>
        <w:rPr>
          <w:rFonts w:ascii="Times New Roman" w:hAnsi="Times New Roman" w:cs="Times New Roman"/>
        </w:rPr>
      </w:pPr>
    </w:p>
    <w:tbl>
      <w:tblPr>
        <w:tblStyle w:val="GridTable5DarkAccent5"/>
        <w:tblW w:w="9062" w:type="dxa"/>
        <w:shd w:val="clear" w:color="auto" w:fill="D9E2F3"/>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DC75FA" w:rsidRDefault="00887D8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Wybór kierunków działań i projektów</w:t>
            </w:r>
          </w:p>
        </w:tc>
      </w:tr>
    </w:tbl>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Określenie kierunków działań rozwojowych i wybór projektów, które zapewnią osiągnięcie celów strategii nastąpił we współpracy z interesariuszami w oparciu o proces partycypacji społecznej (warsztaty, ankiety, konsultacje społeczne). Skupiono się na przedsięwzięciach partnerskich i zintegrowanych, czyli takich, które rozwiązują wspólne problemy obszaru lub wzmacniają i rozwijają jego potencjały. Ideą takich przedsięwzięć jest połączenie sił samorządów zapewniające efekt synergii, w taki sposób aby rezultaty i oddziaływanie projektów partnerskich były większe i korzystniejsze niż jest to możliwe do osiągnięcia w projektach indywidualnych.</w:t>
      </w:r>
    </w:p>
    <w:p w:rsidR="00DC75FA" w:rsidRDefault="00DC75FA">
      <w:pPr>
        <w:jc w:val="both"/>
        <w:rPr>
          <w:rFonts w:ascii="Times New Roman" w:hAnsi="Times New Roman" w:cs="Times New Roman"/>
        </w:rPr>
      </w:pP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Perspektywa finansowa 2021 - 2027</w:t>
            </w:r>
          </w:p>
        </w:tc>
      </w:tr>
    </w:tbl>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 xml:space="preserve">Dostosowano rodzaj i zakres interwencji oraz system wdrażania strategii do wyzwań i uwarunkowań perspektywy finansowej UE 2021 – 2027 opierając się na zasadach obowiązujących w unijnych, krajowych i regionalnych dokumentach strategicznych i operacyjnych. Dotyczy to przede wszystkim </w:t>
      </w:r>
      <w:r>
        <w:rPr>
          <w:rFonts w:ascii="Times New Roman" w:hAnsi="Times New Roman" w:cs="Times New Roman"/>
        </w:rPr>
        <w:lastRenderedPageBreak/>
        <w:t>zintegrowanego podejścia terytorialnego i identyfikacji takich celów rozwojowych, które są możliwe do osiągnięcia w ramach partnerskiej współpracy interesariuszy.</w:t>
      </w:r>
    </w:p>
    <w:p w:rsidR="00DC75FA" w:rsidRDefault="00DC75FA">
      <w:pPr>
        <w:jc w:val="both"/>
        <w:rPr>
          <w:rFonts w:ascii="Times New Roman" w:hAnsi="Times New Roman" w:cs="Times New Roman"/>
        </w:rPr>
      </w:pP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Spójności z celami polityki regionalnej na poziomie województwa – Strategia Rozwoju Województwa Lubelskiego</w:t>
            </w:r>
          </w:p>
        </w:tc>
      </w:tr>
    </w:tbl>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Zachowano spójność z założeniami polityki regionalnej Państwa tak aby strategia była spójna z kierunkami i obszarami interwencji oraz celami określonymi w Krajowej Strategii Rozwoju Regionalnego 2030 oraz Strategii Rozwoju Województwa Lubelskiego 2030, szczególnie w zakresie wymiaru terytorialnego i zintegrowanego podejścia w realizacji strategii ponadlokalnych.</w:t>
      </w:r>
    </w:p>
    <w:p w:rsidR="00DC75FA" w:rsidRDefault="00887D84">
      <w:pPr>
        <w:jc w:val="both"/>
        <w:rPr>
          <w:rFonts w:ascii="Times New Roman" w:hAnsi="Times New Roman" w:cs="Times New Roman"/>
        </w:rPr>
      </w:pPr>
      <w:r>
        <w:br w:type="page"/>
      </w:r>
    </w:p>
    <w:p w:rsidR="00DC75FA" w:rsidRDefault="00887D84">
      <w:pPr>
        <w:pStyle w:val="Nagwek1"/>
        <w:numPr>
          <w:ilvl w:val="0"/>
          <w:numId w:val="1"/>
        </w:numPr>
        <w:rPr>
          <w:rFonts w:ascii="Times New Roman" w:hAnsi="Times New Roman" w:cs="Times New Roman"/>
        </w:rPr>
      </w:pPr>
      <w:bookmarkStart w:id="4" w:name="_Toc105754689"/>
      <w:r>
        <w:rPr>
          <w:rFonts w:ascii="Times New Roman" w:hAnsi="Times New Roman" w:cs="Times New Roman"/>
        </w:rPr>
        <w:lastRenderedPageBreak/>
        <w:t>Wnioski z diagnozy</w:t>
      </w:r>
      <w:bookmarkEnd w:id="4"/>
    </w:p>
    <w:p w:rsidR="00DC75FA" w:rsidRDefault="00DC75FA">
      <w:pPr>
        <w:pStyle w:val="Akapitzlist"/>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Diagnoza prezentuje wyczerpujący obraz Obszaru Funkcjonalnego w ujęciu obiektywnym. Opiera się na faktach i niezbędnych komentarzach ustrukturalizowanych w osiem zasadniczych działów: Obszar Funkcjonalny, Społeczeństwo, Szkolnictwo i wychowanie, Infrastruktura, Aktywność gospodarcza, Kultura, wizerunek i czas wolny, Jakość życia, Finanse samorządu. Zakres czasowy analizy w przypadku większości zagadnień obejmuje lata 2015–2019. Jeżeli możliwe było zaprezentowanie nowszych informacji i danych, które wnoszą wartość dodaną do części analitycznej, to również je przedstawiono. Niekiedy dane statystyczne obejmowały starsze lata, co wynika z określonej cykliczności przeprowadzania przez Główny Urząd Statystyczny w Warszawie badań tematycznych, np. Powszechnego Spisu Rolnego.</w:t>
      </w:r>
    </w:p>
    <w:p w:rsidR="00DC75FA" w:rsidRDefault="00887D84">
      <w:pPr>
        <w:jc w:val="both"/>
        <w:rPr>
          <w:rFonts w:ascii="Times New Roman" w:hAnsi="Times New Roman" w:cs="Times New Roman"/>
        </w:rPr>
      </w:pPr>
      <w:r>
        <w:rPr>
          <w:rFonts w:ascii="Times New Roman" w:hAnsi="Times New Roman" w:cs="Times New Roman"/>
        </w:rPr>
        <w:t>Diagnoza przedstawia portret Obszaru Funkcjonalnego zarówno pod względem opisowym, jak i statystycznym. Na potrzeby przeprowadzonej analizy wykorzystano dane agregowane w wartościach bezwzględnych oraz w postaci wskaźników statystycznych, uwzględniających różnorodne aspekty szeroko rozumianego potencjału społeczno-gospodarczego i przestrzennego. Źródłem informacji były przede wszystkim bazy danych Głównego Urzędu Statystycznego w Warszawie. Do przygotowania części i posłużono się także danymi wewnętrznymi gromadzonymi przez poszczególne samorządy wchodzące w skład Obszaru Funkcjonalnego i ich jednostki organizacyjne oraz danymi pochodzącymi od instytucji zewnętrznych. Całość diagnozy została podsumowana w ramach syntetycznego zestawienia najważniejszych konkluzji (wniosków). Na koniec części i zaprezentowano wyniki analizy SWOT na bazie której to, na dalszym etapie prac, wyznaczono kluczowe kierunki rozwojowe dla Obszaru Funkcjonalnego i zakres niezbędnych do podjęcia działań interwencyjnych.</w:t>
      </w:r>
    </w:p>
    <w:p w:rsidR="00DC75FA" w:rsidRDefault="00DC75FA">
      <w:pPr>
        <w:pStyle w:val="Akapitzlist"/>
        <w:rPr>
          <w:rFonts w:ascii="Times New Roman" w:hAnsi="Times New Roman" w:cs="Times New Roman"/>
        </w:rPr>
      </w:pPr>
    </w:p>
    <w:tbl>
      <w:tblPr>
        <w:tblStyle w:val="PlainTable4"/>
        <w:tblW w:w="9072" w:type="dxa"/>
        <w:tblLook w:val="04A0" w:firstRow="1" w:lastRow="0" w:firstColumn="1" w:lastColumn="0" w:noHBand="0" w:noVBand="1"/>
      </w:tblPr>
      <w:tblGrid>
        <w:gridCol w:w="907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auto"/>
          </w:tcPr>
          <w:p w:rsidR="00DC75FA" w:rsidRDefault="00887D84">
            <w:pPr>
              <w:pStyle w:val="Akapitzlist"/>
              <w:spacing w:after="0" w:line="240" w:lineRule="auto"/>
              <w:ind w:left="-840" w:firstLine="982"/>
              <w:jc w:val="center"/>
              <w:rPr>
                <w:rFonts w:ascii="Times New Roman" w:hAnsi="Times New Roman" w:cs="Times New Roman"/>
                <w:sz w:val="32"/>
                <w:szCs w:val="32"/>
              </w:rPr>
            </w:pPr>
            <w:r>
              <w:rPr>
                <w:rFonts w:ascii="Times New Roman" w:hAnsi="Times New Roman" w:cs="Times New Roman"/>
                <w:sz w:val="32"/>
                <w:szCs w:val="32"/>
              </w:rPr>
              <w:t>Wymiar terytorialny</w:t>
            </w:r>
          </w:p>
        </w:tc>
      </w:tr>
    </w:tbl>
    <w:p w:rsidR="00DC75FA" w:rsidRDefault="00DC75FA">
      <w:pPr>
        <w:pStyle w:val="Akapitzlist"/>
        <w:rPr>
          <w:rFonts w:ascii="Times New Roman" w:hAnsi="Times New Roman" w:cs="Times New Roman"/>
        </w:rPr>
      </w:pPr>
    </w:p>
    <w:p w:rsidR="00DC75FA" w:rsidRDefault="00887D84">
      <w:pPr>
        <w:spacing w:after="0"/>
        <w:ind w:firstLine="567"/>
        <w:jc w:val="both"/>
        <w:rPr>
          <w:rFonts w:ascii="Times New Roman" w:hAnsi="Times New Roman" w:cs="Times New Roman"/>
        </w:rPr>
      </w:pPr>
      <w:r>
        <w:rPr>
          <w:rFonts w:ascii="Times New Roman" w:hAnsi="Times New Roman" w:cs="Times New Roman"/>
        </w:rPr>
        <w:t>Obszar Funkcjonalny Zielone Zagłębie, dla którego opracowano Strategię, obejmuje teren 5 jednostek samorządu terytorialnego, w tym 4 z powiatu łęczyńskiego i 1 z powiatu włodawskiego. w jego skład wchodzą:</w:t>
      </w:r>
    </w:p>
    <w:p w:rsidR="00DC75FA" w:rsidRDefault="00887D84">
      <w:pPr>
        <w:pStyle w:val="Akapitzlist"/>
        <w:numPr>
          <w:ilvl w:val="0"/>
          <w:numId w:val="3"/>
        </w:numPr>
        <w:spacing w:after="120" w:line="276" w:lineRule="auto"/>
        <w:ind w:left="426" w:hanging="426"/>
        <w:jc w:val="both"/>
        <w:rPr>
          <w:rFonts w:ascii="Times New Roman" w:hAnsi="Times New Roman" w:cs="Times New Roman"/>
        </w:rPr>
      </w:pPr>
      <w:r>
        <w:rPr>
          <w:rFonts w:ascii="Times New Roman" w:hAnsi="Times New Roman" w:cs="Times New Roman"/>
        </w:rPr>
        <w:t>Gmina Cyców (wraz z 27 sołectwami, do których należą: Adamów, Barki, Biesiadki, Bekiesza, Cyców, Cyców Kolonia Druga, Garbatówka, Głębokie, Kopina, Ludwinów Wieś, Ludwinów Kolonia, Małków, Malinówka, Ostrówek Podyski, Podgłębokie, Stawek, Stefanów, Nowy Stręczyn, Stary Stręczyn, Sewerynów, Szczupak, Świerszczów Wieś, Świerszczów Kolonia, Wólka Cycowska, Wólka Nadrybska, Zagórze, Zaróbka),</w:t>
      </w:r>
    </w:p>
    <w:p w:rsidR="00DC75FA" w:rsidRDefault="00887D84">
      <w:pPr>
        <w:pStyle w:val="Akapitzlist"/>
        <w:numPr>
          <w:ilvl w:val="0"/>
          <w:numId w:val="3"/>
        </w:numPr>
        <w:spacing w:after="120" w:line="276" w:lineRule="auto"/>
        <w:ind w:left="426" w:hanging="426"/>
        <w:jc w:val="both"/>
        <w:rPr>
          <w:rFonts w:ascii="Times New Roman" w:hAnsi="Times New Roman" w:cs="Times New Roman"/>
        </w:rPr>
      </w:pPr>
      <w:r>
        <w:rPr>
          <w:rFonts w:ascii="Times New Roman" w:hAnsi="Times New Roman" w:cs="Times New Roman"/>
        </w:rPr>
        <w:t xml:space="preserve">Gmina Ludwin (wraz z 21 sołectwami, do których należą: Czarny Las, Kaniwola, Piaseczno, Rozpłucie Pierwsze, Rozpłucie Drugie, Jagodno, Rogóźno, Ludwin, Ludwin Kolonia, Grądy, Zezulin Drugi, Zezulin Pierwszy, Zezulin Niższy, Radzic Stary, Kocia Góra, Dąbrowa, Dratów, Kobyłki, Uciekajka, </w:t>
      </w:r>
      <w:proofErr w:type="spellStart"/>
      <w:r>
        <w:rPr>
          <w:rFonts w:ascii="Times New Roman" w:hAnsi="Times New Roman" w:cs="Times New Roman"/>
        </w:rPr>
        <w:t>Krzczeń</w:t>
      </w:r>
      <w:proofErr w:type="spellEnd"/>
      <w:r>
        <w:rPr>
          <w:rFonts w:ascii="Times New Roman" w:hAnsi="Times New Roman" w:cs="Times New Roman"/>
        </w:rPr>
        <w:t xml:space="preserve">, Dratów Kolonia), </w:t>
      </w:r>
    </w:p>
    <w:p w:rsidR="00DC75FA" w:rsidRDefault="00887D84">
      <w:pPr>
        <w:pStyle w:val="Akapitzlist"/>
        <w:numPr>
          <w:ilvl w:val="0"/>
          <w:numId w:val="3"/>
        </w:numPr>
        <w:spacing w:after="120" w:line="276" w:lineRule="auto"/>
        <w:ind w:left="426" w:hanging="426"/>
        <w:jc w:val="both"/>
        <w:rPr>
          <w:rFonts w:ascii="Times New Roman" w:hAnsi="Times New Roman" w:cs="Times New Roman"/>
        </w:rPr>
      </w:pPr>
      <w:r>
        <w:rPr>
          <w:rFonts w:ascii="Times New Roman" w:hAnsi="Times New Roman" w:cs="Times New Roman"/>
        </w:rPr>
        <w:t>Gmina Milejów (wraz z 24 sołectwami, do których należą: Antoniów, Antoniów Kolonia, Białka, Białka Kolonia, Dąbrowa, Cyganka, Górne, Jaszczów, Jaszczów Kolonia, Kajetanówka, Klarów, Łańcuchów, Łysołaje, Łysołaje Kolonia, Maryniów, Milejów Osada, Milejów, Ostrówek Kolonia, Popławy, Staroście, Wólka Bielecka, Wólka Łańcuchowska, Zalesie, Zgniła Struga),</w:t>
      </w:r>
    </w:p>
    <w:p w:rsidR="00DC75FA" w:rsidRDefault="00887D84">
      <w:pPr>
        <w:pStyle w:val="Akapitzlist"/>
        <w:numPr>
          <w:ilvl w:val="0"/>
          <w:numId w:val="3"/>
        </w:numPr>
        <w:spacing w:after="120" w:line="276" w:lineRule="auto"/>
        <w:ind w:left="426" w:hanging="426"/>
        <w:jc w:val="both"/>
        <w:rPr>
          <w:rFonts w:ascii="Times New Roman" w:hAnsi="Times New Roman" w:cs="Times New Roman"/>
        </w:rPr>
      </w:pPr>
      <w:r>
        <w:rPr>
          <w:rFonts w:ascii="Times New Roman" w:hAnsi="Times New Roman" w:cs="Times New Roman"/>
        </w:rPr>
        <w:t>Gmina Puchaczów (wraz z 17 sołectwami, do których należą: Wesołówka, Albertów, Brzeziny, Puchaczów, Bogdanka, Nadrybie Wieś, Turowola, Ciechanki, Nadrybie Dwór, Jasieniec, Zawadów, Kol. Ciechanki, Kol. Turowola, Ostrówek, Szpica, Nadrybie Ukazowe, Stara Wieś),</w:t>
      </w:r>
    </w:p>
    <w:p w:rsidR="00DC75FA" w:rsidRDefault="00887D84">
      <w:pPr>
        <w:pStyle w:val="Akapitzlist"/>
        <w:numPr>
          <w:ilvl w:val="0"/>
          <w:numId w:val="3"/>
        </w:numPr>
        <w:spacing w:after="120" w:line="276" w:lineRule="auto"/>
        <w:ind w:left="426" w:hanging="426"/>
        <w:jc w:val="both"/>
        <w:rPr>
          <w:rFonts w:ascii="Times New Roman" w:hAnsi="Times New Roman" w:cs="Times New Roman"/>
        </w:rPr>
      </w:pPr>
      <w:r>
        <w:rPr>
          <w:rFonts w:ascii="Times New Roman" w:hAnsi="Times New Roman" w:cs="Times New Roman"/>
        </w:rPr>
        <w:t xml:space="preserve">Gmina Urszulin (wraz z 25 sołectwami, do których należą: Andrzejów, Babsk, </w:t>
      </w:r>
      <w:proofErr w:type="spellStart"/>
      <w:r>
        <w:rPr>
          <w:rFonts w:ascii="Times New Roman" w:hAnsi="Times New Roman" w:cs="Times New Roman"/>
        </w:rPr>
        <w:t>Borysik</w:t>
      </w:r>
      <w:proofErr w:type="spellEnd"/>
      <w:r>
        <w:rPr>
          <w:rFonts w:ascii="Times New Roman" w:hAnsi="Times New Roman" w:cs="Times New Roman"/>
        </w:rPr>
        <w:t xml:space="preserve">, Dębowiec, Grabniak, Jamniki, </w:t>
      </w:r>
      <w:proofErr w:type="spellStart"/>
      <w:r>
        <w:rPr>
          <w:rFonts w:ascii="Times New Roman" w:hAnsi="Times New Roman" w:cs="Times New Roman"/>
        </w:rPr>
        <w:t>Kozubata</w:t>
      </w:r>
      <w:proofErr w:type="spellEnd"/>
      <w:r>
        <w:rPr>
          <w:rFonts w:ascii="Times New Roman" w:hAnsi="Times New Roman" w:cs="Times New Roman"/>
        </w:rPr>
        <w:t xml:space="preserve">, Łomnica, Michałów, Nowe Załucze, Przymiarki, Sęków, Sumin, </w:t>
      </w:r>
      <w:r>
        <w:rPr>
          <w:rFonts w:ascii="Times New Roman" w:hAnsi="Times New Roman" w:cs="Times New Roman"/>
        </w:rPr>
        <w:lastRenderedPageBreak/>
        <w:t xml:space="preserve">Urszulin, Wereszczyn, Wiązowiec, Wielkopole, </w:t>
      </w:r>
      <w:proofErr w:type="spellStart"/>
      <w:r>
        <w:rPr>
          <w:rFonts w:ascii="Times New Roman" w:hAnsi="Times New Roman" w:cs="Times New Roman"/>
        </w:rPr>
        <w:t>Wincencin</w:t>
      </w:r>
      <w:proofErr w:type="spellEnd"/>
      <w:r>
        <w:rPr>
          <w:rFonts w:ascii="Times New Roman" w:hAnsi="Times New Roman" w:cs="Times New Roman"/>
        </w:rPr>
        <w:t xml:space="preserve">, Wola Wereszczyńska, Wólka Wytycka, </w:t>
      </w:r>
      <w:proofErr w:type="spellStart"/>
      <w:r>
        <w:rPr>
          <w:rFonts w:ascii="Times New Roman" w:hAnsi="Times New Roman" w:cs="Times New Roman"/>
        </w:rPr>
        <w:t>Wytyczno</w:t>
      </w:r>
      <w:proofErr w:type="spellEnd"/>
      <w:r>
        <w:rPr>
          <w:rFonts w:ascii="Times New Roman" w:hAnsi="Times New Roman" w:cs="Times New Roman"/>
        </w:rPr>
        <w:t>, Zabrodzie, Stare Załucze, Zastawie, Zawadówka).</w:t>
      </w:r>
    </w:p>
    <w:p w:rsidR="00DC75FA" w:rsidRDefault="00887D84">
      <w:pPr>
        <w:ind w:firstLine="567"/>
        <w:jc w:val="both"/>
        <w:rPr>
          <w:rFonts w:ascii="Times New Roman" w:hAnsi="Times New Roman" w:cs="Times New Roman"/>
        </w:rPr>
      </w:pPr>
      <w:r>
        <w:rPr>
          <w:rFonts w:ascii="Times New Roman" w:hAnsi="Times New Roman" w:cs="Times New Roman"/>
        </w:rPr>
        <w:t>Łączna powierzchnia administracyjna OF wynosi 649 km</w:t>
      </w:r>
      <w:r>
        <w:rPr>
          <w:rFonts w:ascii="Times New Roman" w:hAnsi="Times New Roman" w:cs="Times New Roman"/>
          <w:vertAlign w:val="superscript"/>
        </w:rPr>
        <w:t>2</w:t>
      </w:r>
      <w:r>
        <w:rPr>
          <w:rFonts w:ascii="Times New Roman" w:hAnsi="Times New Roman" w:cs="Times New Roman"/>
        </w:rPr>
        <w:t>, co stanowi 2,6% powierzchni województwa lubelskiego.</w:t>
      </w:r>
    </w:p>
    <w:p w:rsidR="00DC75FA" w:rsidRDefault="00887D84">
      <w:pPr>
        <w:pStyle w:val="Legenda"/>
        <w:keepNext/>
        <w:spacing w:line="276" w:lineRule="auto"/>
        <w:rPr>
          <w:rFonts w:ascii="Times New Roman" w:hAnsi="Times New Roman" w:cs="Times New Roman"/>
          <w:sz w:val="22"/>
          <w:szCs w:val="22"/>
        </w:rPr>
      </w:pPr>
      <w:bookmarkStart w:id="5" w:name="_Toc116896486"/>
      <w:bookmarkStart w:id="6" w:name="_Toc54642668"/>
      <w:r>
        <w:rPr>
          <w:rFonts w:ascii="Times New Roman" w:hAnsi="Times New Roman" w:cs="Times New Roman"/>
          <w:sz w:val="22"/>
          <w:szCs w:val="22"/>
        </w:rPr>
        <w:t xml:space="preserve">Rysunek </w:t>
      </w:r>
      <w:r>
        <w:rPr>
          <w:rFonts w:ascii="Times New Roman" w:hAnsi="Times New Roman" w:cs="Times New Roman"/>
          <w:sz w:val="22"/>
          <w:szCs w:val="22"/>
        </w:rPr>
        <w:fldChar w:fldCharType="begin"/>
      </w:r>
      <w:r>
        <w:rPr>
          <w:rFonts w:ascii="Times New Roman" w:hAnsi="Times New Roman" w:cs="Times New Roman"/>
          <w:sz w:val="22"/>
          <w:szCs w:val="22"/>
        </w:rPr>
        <w:instrText>SEQ Rysunek \* ARABIC</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r>
        <w:rPr>
          <w:rFonts w:ascii="Times New Roman" w:hAnsi="Times New Roman" w:cs="Times New Roman"/>
          <w:sz w:val="22"/>
          <w:szCs w:val="22"/>
        </w:rPr>
        <w:t>: Herby i logotypy poszczególnych JST wchodzących w skład OF</w:t>
      </w:r>
      <w:bookmarkEnd w:id="5"/>
      <w:bookmarkEnd w:id="6"/>
    </w:p>
    <w:tbl>
      <w:tblPr>
        <w:tblStyle w:val="GridTable4Accent5"/>
        <w:tblW w:w="9203" w:type="dxa"/>
        <w:tblLook w:val="04A0" w:firstRow="1" w:lastRow="0" w:firstColumn="1" w:lastColumn="0" w:noHBand="0" w:noVBand="1"/>
      </w:tblPr>
      <w:tblGrid>
        <w:gridCol w:w="1821"/>
        <w:gridCol w:w="1780"/>
        <w:gridCol w:w="1705"/>
        <w:gridCol w:w="1904"/>
        <w:gridCol w:w="2219"/>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Borders>
              <w:top w:val="single" w:sz="4" w:space="0" w:color="4472C4"/>
              <w:left w:val="single" w:sz="4" w:space="0" w:color="4472C4"/>
              <w:bottom w:val="single" w:sz="4" w:space="0" w:color="4472C4"/>
              <w:right w:val="single" w:sz="4" w:space="0" w:color="4472C4"/>
            </w:tcBorders>
            <w:vAlign w:val="bottom"/>
          </w:tcPr>
          <w:p w:rsidR="00DC75FA" w:rsidRDefault="00887D84">
            <w:pPr>
              <w:spacing w:after="0" w:line="240" w:lineRule="auto"/>
              <w:jc w:val="center"/>
              <w:rPr>
                <w:rFonts w:ascii="Times New Roman" w:hAnsi="Times New Roman" w:cs="Times New Roman"/>
              </w:rPr>
            </w:pPr>
            <w:r>
              <w:rPr>
                <w:rFonts w:ascii="Times New Roman" w:hAnsi="Times New Roman" w:cs="Times New Roman"/>
              </w:rPr>
              <w:t>Gmina Cyców</w:t>
            </w:r>
          </w:p>
        </w:tc>
        <w:tc>
          <w:tcPr>
            <w:tcW w:w="1736" w:type="dxa"/>
            <w:tcBorders>
              <w:top w:val="single" w:sz="4" w:space="0" w:color="4472C4"/>
              <w:left w:val="single" w:sz="4" w:space="0" w:color="4472C4"/>
              <w:bottom w:val="single" w:sz="4" w:space="0" w:color="4472C4"/>
              <w:right w:val="single" w:sz="4" w:space="0" w:color="4472C4"/>
            </w:tcBorders>
            <w:vAlign w:val="bottom"/>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Ludwin</w:t>
            </w:r>
          </w:p>
        </w:tc>
        <w:tc>
          <w:tcPr>
            <w:tcW w:w="1666" w:type="dxa"/>
            <w:tcBorders>
              <w:top w:val="single" w:sz="4" w:space="0" w:color="4472C4"/>
              <w:left w:val="single" w:sz="4" w:space="0" w:color="4472C4"/>
              <w:bottom w:val="single" w:sz="4" w:space="0" w:color="4472C4"/>
              <w:right w:val="single" w:sz="4" w:space="0" w:color="4472C4"/>
            </w:tcBorders>
            <w:vAlign w:val="bottom"/>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Milejów</w:t>
            </w:r>
          </w:p>
        </w:tc>
        <w:tc>
          <w:tcPr>
            <w:tcW w:w="1857" w:type="dxa"/>
            <w:tcBorders>
              <w:top w:val="single" w:sz="4" w:space="0" w:color="4472C4"/>
              <w:left w:val="single" w:sz="4" w:space="0" w:color="4472C4"/>
              <w:bottom w:val="single" w:sz="4" w:space="0" w:color="4472C4"/>
              <w:right w:val="single" w:sz="4" w:space="0" w:color="4472C4"/>
            </w:tcBorders>
            <w:vAlign w:val="bottom"/>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Puchaczów</w:t>
            </w:r>
          </w:p>
        </w:tc>
        <w:tc>
          <w:tcPr>
            <w:tcW w:w="2166" w:type="dxa"/>
            <w:tcBorders>
              <w:top w:val="single" w:sz="4" w:space="0" w:color="4472C4"/>
              <w:left w:val="single" w:sz="4" w:space="0" w:color="4472C4"/>
              <w:bottom w:val="single" w:sz="4" w:space="0" w:color="4472C4"/>
              <w:right w:val="single" w:sz="4" w:space="0" w:color="4472C4"/>
            </w:tcBorders>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Gmina Urszulin</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Borders>
              <w:top w:val="nil"/>
              <w:left w:val="nil"/>
              <w:bottom w:val="nil"/>
              <w:right w:val="nil"/>
            </w:tcBorders>
            <w:vAlign w:val="center"/>
          </w:tcPr>
          <w:p w:rsidR="00DC75FA" w:rsidRDefault="00887D84">
            <w:pPr>
              <w:spacing w:after="0" w:line="240" w:lineRule="auto"/>
              <w:jc w:val="center"/>
              <w:rPr>
                <w:rFonts w:ascii="Times New Roman" w:hAnsi="Times New Roman" w:cs="Times New Roman"/>
              </w:rPr>
            </w:pPr>
            <w:r>
              <w:rPr>
                <w:noProof/>
                <w:lang w:eastAsia="pl-PL"/>
              </w:rPr>
              <w:drawing>
                <wp:inline distT="0" distB="0" distL="0" distR="0">
                  <wp:extent cx="1057910" cy="1188085"/>
                  <wp:effectExtent l="0" t="0" r="0" b="0"/>
                  <wp:docPr id="8"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3"/>
                          <pic:cNvPicPr>
                            <a:picLocks noChangeAspect="1" noChangeArrowheads="1"/>
                          </pic:cNvPicPr>
                        </pic:nvPicPr>
                        <pic:blipFill>
                          <a:blip r:embed="rId13"/>
                          <a:stretch>
                            <a:fillRect/>
                          </a:stretch>
                        </pic:blipFill>
                        <pic:spPr bwMode="auto">
                          <a:xfrm>
                            <a:off x="0" y="0"/>
                            <a:ext cx="1057910" cy="1188085"/>
                          </a:xfrm>
                          <a:prstGeom prst="rect">
                            <a:avLst/>
                          </a:prstGeom>
                        </pic:spPr>
                      </pic:pic>
                    </a:graphicData>
                  </a:graphic>
                </wp:inline>
              </w:drawing>
            </w:r>
          </w:p>
        </w:tc>
        <w:tc>
          <w:tcPr>
            <w:tcW w:w="1736" w:type="dxa"/>
            <w:tcBorders>
              <w:top w:val="nil"/>
              <w:left w:val="nil"/>
              <w:bottom w:val="nil"/>
              <w:right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lang w:eastAsia="pl-PL"/>
              </w:rPr>
              <w:drawing>
                <wp:inline distT="0" distB="0" distL="0" distR="0">
                  <wp:extent cx="1030605" cy="1188085"/>
                  <wp:effectExtent l="0" t="0" r="0" b="0"/>
                  <wp:docPr id="9"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6"/>
                          <pic:cNvPicPr>
                            <a:picLocks noChangeAspect="1" noChangeArrowheads="1"/>
                          </pic:cNvPicPr>
                        </pic:nvPicPr>
                        <pic:blipFill>
                          <a:blip r:embed="rId14"/>
                          <a:stretch>
                            <a:fillRect/>
                          </a:stretch>
                        </pic:blipFill>
                        <pic:spPr bwMode="auto">
                          <a:xfrm>
                            <a:off x="0" y="0"/>
                            <a:ext cx="1030605" cy="1188085"/>
                          </a:xfrm>
                          <a:prstGeom prst="rect">
                            <a:avLst/>
                          </a:prstGeom>
                        </pic:spPr>
                      </pic:pic>
                    </a:graphicData>
                  </a:graphic>
                </wp:inline>
              </w:drawing>
            </w:r>
          </w:p>
        </w:tc>
        <w:tc>
          <w:tcPr>
            <w:tcW w:w="1666" w:type="dxa"/>
            <w:tcBorders>
              <w:top w:val="nil"/>
              <w:left w:val="nil"/>
              <w:bottom w:val="nil"/>
              <w:right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lang w:eastAsia="pl-PL"/>
              </w:rPr>
              <w:drawing>
                <wp:inline distT="0" distB="0" distL="0" distR="0">
                  <wp:extent cx="981075" cy="1188085"/>
                  <wp:effectExtent l="0" t="0" r="0" b="0"/>
                  <wp:docPr id="10"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88"/>
                          <pic:cNvPicPr>
                            <a:picLocks noChangeAspect="1" noChangeArrowheads="1"/>
                          </pic:cNvPicPr>
                        </pic:nvPicPr>
                        <pic:blipFill>
                          <a:blip r:embed="rId15"/>
                          <a:stretch>
                            <a:fillRect/>
                          </a:stretch>
                        </pic:blipFill>
                        <pic:spPr bwMode="auto">
                          <a:xfrm>
                            <a:off x="0" y="0"/>
                            <a:ext cx="981075" cy="1188085"/>
                          </a:xfrm>
                          <a:prstGeom prst="rect">
                            <a:avLst/>
                          </a:prstGeom>
                        </pic:spPr>
                      </pic:pic>
                    </a:graphicData>
                  </a:graphic>
                </wp:inline>
              </w:drawing>
            </w:r>
          </w:p>
        </w:tc>
        <w:tc>
          <w:tcPr>
            <w:tcW w:w="1857" w:type="dxa"/>
            <w:tcBorders>
              <w:top w:val="nil"/>
              <w:left w:val="nil"/>
              <w:bottom w:val="nil"/>
              <w:right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noProof/>
                <w:lang w:eastAsia="pl-PL"/>
              </w:rPr>
              <w:drawing>
                <wp:inline distT="0" distB="0" distL="0" distR="0">
                  <wp:extent cx="1112520" cy="1333500"/>
                  <wp:effectExtent l="0" t="0" r="0" b="0"/>
                  <wp:docPr id="11"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90"/>
                          <pic:cNvPicPr>
                            <a:picLocks noChangeAspect="1" noChangeArrowheads="1"/>
                          </pic:cNvPicPr>
                        </pic:nvPicPr>
                        <pic:blipFill>
                          <a:blip r:embed="rId16"/>
                          <a:stretch>
                            <a:fillRect/>
                          </a:stretch>
                        </pic:blipFill>
                        <pic:spPr bwMode="auto">
                          <a:xfrm>
                            <a:off x="0" y="0"/>
                            <a:ext cx="1112520" cy="1333500"/>
                          </a:xfrm>
                          <a:prstGeom prst="rect">
                            <a:avLst/>
                          </a:prstGeom>
                        </pic:spPr>
                      </pic:pic>
                    </a:graphicData>
                  </a:graphic>
                </wp:inline>
              </w:drawing>
            </w:r>
          </w:p>
        </w:tc>
        <w:tc>
          <w:tcPr>
            <w:tcW w:w="2166" w:type="dxa"/>
            <w:tcBorders>
              <w:top w:val="nil"/>
              <w:left w:val="nil"/>
              <w:bottom w:val="nil"/>
              <w:right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pl-PL"/>
              </w:rPr>
            </w:pPr>
            <w:r>
              <w:rPr>
                <w:noProof/>
                <w:lang w:eastAsia="pl-PL"/>
              </w:rPr>
              <w:drawing>
                <wp:inline distT="0" distB="0" distL="0" distR="0">
                  <wp:extent cx="1320165" cy="660400"/>
                  <wp:effectExtent l="0" t="0" r="0" b="0"/>
                  <wp:docPr id="12" name="Obraz 91" descr="Herb Gminy Ursz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91" descr="Herb Gminy Urszulin"/>
                          <pic:cNvPicPr>
                            <a:picLocks noChangeAspect="1" noChangeArrowheads="1"/>
                          </pic:cNvPicPr>
                        </pic:nvPicPr>
                        <pic:blipFill>
                          <a:blip r:embed="rId17"/>
                          <a:stretch>
                            <a:fillRect/>
                          </a:stretch>
                        </pic:blipFill>
                        <pic:spPr bwMode="auto">
                          <a:xfrm>
                            <a:off x="0" y="0"/>
                            <a:ext cx="1320165" cy="660400"/>
                          </a:xfrm>
                          <a:prstGeom prst="rect">
                            <a:avLst/>
                          </a:prstGeom>
                        </pic:spPr>
                      </pic:pic>
                    </a:graphicData>
                  </a:graphic>
                </wp:inline>
              </w:drawing>
            </w:r>
          </w:p>
        </w:tc>
      </w:tr>
    </w:tbl>
    <w:p w:rsidR="00DC75FA" w:rsidRDefault="00887D84">
      <w:pPr>
        <w:pStyle w:val="Legenda"/>
        <w:rPr>
          <w:rFonts w:ascii="Times New Roman" w:hAnsi="Times New Roman" w:cs="Times New Roman"/>
          <w:sz w:val="22"/>
          <w:szCs w:val="22"/>
        </w:rPr>
      </w:pPr>
      <w:r>
        <w:rPr>
          <w:rFonts w:ascii="Times New Roman" w:hAnsi="Times New Roman" w:cs="Times New Roman"/>
          <w:sz w:val="22"/>
          <w:szCs w:val="22"/>
        </w:rPr>
        <w:t>Źródło: opracowanie własne na podstawie stron internetowych poszczególnych JST.</w:t>
      </w:r>
    </w:p>
    <w:p w:rsidR="00DC75FA" w:rsidRDefault="00887D84">
      <w:pPr>
        <w:pStyle w:val="Legenda"/>
        <w:rPr>
          <w:rFonts w:ascii="Times New Roman" w:hAnsi="Times New Roman" w:cs="Times New Roman"/>
          <w:sz w:val="22"/>
          <w:szCs w:val="22"/>
        </w:rPr>
      </w:pPr>
      <w:bookmarkStart w:id="7" w:name="_Toc75877420"/>
      <w:r>
        <w:rPr>
          <w:rFonts w:ascii="Times New Roman" w:hAnsi="Times New Roman" w:cs="Times New Roman"/>
          <w:sz w:val="22"/>
          <w:szCs w:val="22"/>
        </w:rPr>
        <w:t xml:space="preserve">Mapa </w:t>
      </w:r>
      <w:r>
        <w:rPr>
          <w:rFonts w:ascii="Times New Roman" w:hAnsi="Times New Roman" w:cs="Times New Roman"/>
          <w:sz w:val="22"/>
          <w:szCs w:val="22"/>
        </w:rPr>
        <w:fldChar w:fldCharType="begin"/>
      </w:r>
      <w:r>
        <w:rPr>
          <w:rFonts w:ascii="Times New Roman" w:hAnsi="Times New Roman" w:cs="Times New Roman"/>
          <w:sz w:val="22"/>
          <w:szCs w:val="22"/>
        </w:rPr>
        <w:instrText>SEQ Mapa \* ARABIC</w:instrText>
      </w:r>
      <w:r>
        <w:rPr>
          <w:rFonts w:ascii="Times New Roman" w:hAnsi="Times New Roman" w:cs="Times New Roman"/>
          <w:sz w:val="22"/>
          <w:szCs w:val="22"/>
        </w:rPr>
        <w:fldChar w:fldCharType="separate"/>
      </w:r>
      <w:r>
        <w:rPr>
          <w:rFonts w:ascii="Times New Roman" w:hAnsi="Times New Roman" w:cs="Times New Roman"/>
          <w:sz w:val="22"/>
          <w:szCs w:val="22"/>
        </w:rPr>
        <w:t>1</w:t>
      </w:r>
      <w:r>
        <w:rPr>
          <w:rFonts w:ascii="Times New Roman" w:hAnsi="Times New Roman" w:cs="Times New Roman"/>
          <w:sz w:val="22"/>
          <w:szCs w:val="22"/>
        </w:rPr>
        <w:fldChar w:fldCharType="end"/>
      </w:r>
      <w:r>
        <w:rPr>
          <w:rFonts w:ascii="Times New Roman" w:hAnsi="Times New Roman" w:cs="Times New Roman"/>
          <w:sz w:val="22"/>
          <w:szCs w:val="22"/>
        </w:rPr>
        <w:t>: Mapa obszaru funkcjonalnego</w:t>
      </w:r>
      <w:bookmarkEnd w:id="7"/>
      <w:r>
        <w:rPr>
          <w:rFonts w:ascii="Times New Roman" w:hAnsi="Times New Roman" w:cs="Times New Roman"/>
          <w:sz w:val="22"/>
          <w:szCs w:val="22"/>
        </w:rPr>
        <w:t xml:space="preserve"> </w:t>
      </w:r>
    </w:p>
    <w:p w:rsidR="00DC75FA" w:rsidRDefault="00887D84">
      <w:pPr>
        <w:jc w:val="center"/>
        <w:rPr>
          <w:rFonts w:ascii="Times New Roman" w:hAnsi="Times New Roman" w:cs="Times New Roman"/>
        </w:rPr>
      </w:pPr>
      <w:r>
        <w:rPr>
          <w:noProof/>
          <w:lang w:eastAsia="pl-PL"/>
        </w:rPr>
        <w:drawing>
          <wp:inline distT="0" distB="0" distL="0" distR="0">
            <wp:extent cx="5321300" cy="4977765"/>
            <wp:effectExtent l="0" t="0" r="0" b="0"/>
            <wp:docPr id="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0"/>
                    <pic:cNvPicPr>
                      <a:picLocks noChangeAspect="1" noChangeArrowheads="1"/>
                    </pic:cNvPicPr>
                  </pic:nvPicPr>
                  <pic:blipFill>
                    <a:blip r:embed="rId18"/>
                    <a:stretch>
                      <a:fillRect/>
                    </a:stretch>
                  </pic:blipFill>
                  <pic:spPr bwMode="auto">
                    <a:xfrm>
                      <a:off x="0" y="0"/>
                      <a:ext cx="5321300" cy="4977765"/>
                    </a:xfrm>
                    <a:prstGeom prst="rect">
                      <a:avLst/>
                    </a:prstGeom>
                  </pic:spPr>
                </pic:pic>
              </a:graphicData>
            </a:graphic>
          </wp:inline>
        </w:drawing>
      </w:r>
    </w:p>
    <w:p w:rsidR="00DC75FA" w:rsidRDefault="00887D84">
      <w:pPr>
        <w:pStyle w:val="Legenda"/>
        <w:rPr>
          <w:rFonts w:ascii="Times New Roman" w:hAnsi="Times New Roman" w:cs="Times New Roman"/>
          <w:sz w:val="22"/>
          <w:szCs w:val="22"/>
        </w:rPr>
      </w:pPr>
      <w:r>
        <w:rPr>
          <w:rFonts w:ascii="Times New Roman" w:hAnsi="Times New Roman" w:cs="Times New Roman"/>
          <w:sz w:val="22"/>
          <w:szCs w:val="22"/>
        </w:rPr>
        <w:t>Źródło: opracowanie własne</w:t>
      </w:r>
    </w:p>
    <w:p w:rsidR="00DC75FA" w:rsidRDefault="00887D84">
      <w:pPr>
        <w:jc w:val="both"/>
        <w:rPr>
          <w:rFonts w:ascii="Times New Roman" w:hAnsi="Times New Roman" w:cs="Times New Roman"/>
        </w:rPr>
      </w:pPr>
      <w:r>
        <w:rPr>
          <w:rFonts w:ascii="Times New Roman" w:hAnsi="Times New Roman" w:cs="Times New Roman"/>
        </w:rPr>
        <w:lastRenderedPageBreak/>
        <w:t>Największą pod względem powierzchni jednostką samorządu terytorialnego wchodzącą w skład OF jest Gmina Urszulin, która stanowi 26,5% całego obszaru funkcjonalnego. Dalej znajdują się: Gmina Cyców, Gmina Ludwin oraz Gmina Milejów. Najmniejszą powierzchnią ma Gmina Puchaczów, która stanowi 14,1% całego OF.</w:t>
      </w:r>
    </w:p>
    <w:p w:rsidR="00DC75FA" w:rsidRDefault="00887D84">
      <w:pPr>
        <w:jc w:val="both"/>
        <w:rPr>
          <w:rFonts w:ascii="Times New Roman" w:hAnsi="Times New Roman" w:cs="Times New Roman"/>
        </w:rPr>
      </w:pPr>
      <w:r>
        <w:rPr>
          <w:rFonts w:ascii="Times New Roman" w:hAnsi="Times New Roman" w:cs="Times New Roman"/>
        </w:rPr>
        <w:t>W każdej z gmin największą powierzchnię stanowią użytki rolne. Ze wszystkich gmin wchodzący w skład obszaru funkcjonalnego największą powierzchnię użytków rolnych posiada Gmina Cyców i jest to 11 642 ha. Gmina Puchaczów może pochwalić się największą powierzchnią gruntów leśnych, która wynosi 5 404 ha i jest większa prawie pięciokrotnie od powierzchni gruntów leśnych Gminy Puchaczów.</w:t>
      </w:r>
    </w:p>
    <w:p w:rsidR="00DC75FA" w:rsidRDefault="00887D84">
      <w:pPr>
        <w:jc w:val="both"/>
        <w:rPr>
          <w:rFonts w:ascii="Times New Roman" w:hAnsi="Times New Roman" w:cs="Times New Roman"/>
        </w:rPr>
      </w:pPr>
      <w:r>
        <w:rPr>
          <w:rFonts w:ascii="Times New Roman" w:hAnsi="Times New Roman" w:cs="Times New Roman"/>
        </w:rPr>
        <w:t xml:space="preserve">Główną atrakcją Pojezierza Łęczyńsko-Włodawskiego, na obszarze którego położone są gminy – sygnatariusze porozumienia ponadlokalnego, jest około 68 jezior, najstarszych na Niżu Środkowoeuropejskim. Są to zarówno jeziora polodowcowe jak i pochodzenia krasowego. Ich dokładną liczbę trudno określić, gdyż część z nich powoli zanika w wyniku zarastania i rozprzestrzeniania się torfowisk. Największym jeziorem jest jezioro </w:t>
      </w:r>
      <w:proofErr w:type="spellStart"/>
      <w:r>
        <w:rPr>
          <w:rFonts w:ascii="Times New Roman" w:hAnsi="Times New Roman" w:cs="Times New Roman"/>
        </w:rPr>
        <w:t>Wytyckie</w:t>
      </w:r>
      <w:proofErr w:type="spellEnd"/>
      <w:r>
        <w:rPr>
          <w:rFonts w:ascii="Times New Roman" w:hAnsi="Times New Roman" w:cs="Times New Roman"/>
        </w:rPr>
        <w:t xml:space="preserve"> (478 ha) położone w Gminie Urszulin, kolejne </w:t>
      </w:r>
      <w:proofErr w:type="spellStart"/>
      <w:r>
        <w:rPr>
          <w:rFonts w:ascii="Times New Roman" w:hAnsi="Times New Roman" w:cs="Times New Roman"/>
        </w:rPr>
        <w:t>Uściwierz</w:t>
      </w:r>
      <w:proofErr w:type="spellEnd"/>
      <w:r>
        <w:rPr>
          <w:rFonts w:ascii="Times New Roman" w:hAnsi="Times New Roman" w:cs="Times New Roman"/>
        </w:rPr>
        <w:t xml:space="preserve"> (284 ha) położone w gminie Cyców, najgłębszym jezioro Piaseczno (około 39 metrów) położone w gminie Ludwin. Jeziora przyciągają turystów malowniczym położeniem wśród lasów, czystą wodą i piaszczystymi plażami. </w:t>
      </w:r>
    </w:p>
    <w:p w:rsidR="00DC75FA" w:rsidRDefault="00887D84">
      <w:pPr>
        <w:jc w:val="both"/>
        <w:rPr>
          <w:rFonts w:ascii="Times New Roman" w:hAnsi="Times New Roman" w:cs="Times New Roman"/>
        </w:rPr>
      </w:pPr>
      <w:r>
        <w:rPr>
          <w:rFonts w:ascii="Times New Roman" w:hAnsi="Times New Roman" w:cs="Times New Roman"/>
        </w:rPr>
        <w:t xml:space="preserve">Geneza jezior nie jest jeszcze ostatecznie wyjaśniona. Uznaje się, że płytkie jeziora są pozostałością rozlewisk plejstoceńskich, głębokie zaś mają związek ze zjawiskami krasowymi. Część z ich to jeziora o rozległej, piaszczystej plaży zachęcające do czynnego odpoczynku (pływanie, żeglowanie, jazda na nartach wodnych) oraz do zażywania kąpieli wodno-słonecznych (Piaseczno, </w:t>
      </w:r>
      <w:proofErr w:type="spellStart"/>
      <w:r>
        <w:rPr>
          <w:rFonts w:ascii="Times New Roman" w:hAnsi="Times New Roman" w:cs="Times New Roman"/>
        </w:rPr>
        <w:t>Łukcze</w:t>
      </w:r>
      <w:proofErr w:type="spellEnd"/>
      <w:r>
        <w:rPr>
          <w:rFonts w:ascii="Times New Roman" w:hAnsi="Times New Roman" w:cs="Times New Roman"/>
        </w:rPr>
        <w:t>). Część nie nadaje się na kąpieliska, ale stanowi niezwykle cenny obiekt przyrodniczo-krajobrazowy, szczególnie ze względu na otoczenie złożone z torfowisk przejściowych i wysokich z bardzo bogatymi formami reliktowymi borealnymi i północnymi.</w:t>
      </w:r>
    </w:p>
    <w:p w:rsidR="00DC75FA" w:rsidRDefault="00887D84">
      <w:pPr>
        <w:jc w:val="both"/>
        <w:rPr>
          <w:rFonts w:ascii="Times New Roman" w:hAnsi="Times New Roman" w:cs="Times New Roman"/>
        </w:rPr>
      </w:pPr>
      <w:r>
        <w:rPr>
          <w:rFonts w:ascii="Times New Roman" w:hAnsi="Times New Roman" w:cs="Times New Roman"/>
        </w:rPr>
        <w:t xml:space="preserve">Do jezior o największych walorach rekreacyjnych należą: jez. Piaseczno, </w:t>
      </w:r>
      <w:proofErr w:type="spellStart"/>
      <w:r>
        <w:rPr>
          <w:rFonts w:ascii="Times New Roman" w:hAnsi="Times New Roman" w:cs="Times New Roman"/>
        </w:rPr>
        <w:t>Rogóżno</w:t>
      </w:r>
      <w:proofErr w:type="spellEnd"/>
      <w:r>
        <w:rPr>
          <w:rFonts w:ascii="Times New Roman" w:hAnsi="Times New Roman" w:cs="Times New Roman"/>
        </w:rPr>
        <w:t xml:space="preserve">, </w:t>
      </w:r>
      <w:proofErr w:type="spellStart"/>
      <w:r>
        <w:rPr>
          <w:rFonts w:ascii="Times New Roman" w:hAnsi="Times New Roman" w:cs="Times New Roman"/>
        </w:rPr>
        <w:t>Łukcze</w:t>
      </w:r>
      <w:proofErr w:type="spellEnd"/>
      <w:r>
        <w:rPr>
          <w:rFonts w:ascii="Times New Roman" w:hAnsi="Times New Roman" w:cs="Times New Roman"/>
        </w:rPr>
        <w:t xml:space="preserve">, </w:t>
      </w:r>
      <w:proofErr w:type="spellStart"/>
      <w:r>
        <w:rPr>
          <w:rFonts w:ascii="Times New Roman" w:hAnsi="Times New Roman" w:cs="Times New Roman"/>
        </w:rPr>
        <w:t>Zagłębocze</w:t>
      </w:r>
      <w:proofErr w:type="spellEnd"/>
      <w:r>
        <w:rPr>
          <w:rFonts w:ascii="Times New Roman" w:hAnsi="Times New Roman" w:cs="Times New Roman"/>
        </w:rPr>
        <w:t xml:space="preserve">, Krasne, </w:t>
      </w:r>
      <w:proofErr w:type="spellStart"/>
      <w:r>
        <w:rPr>
          <w:rFonts w:ascii="Times New Roman" w:hAnsi="Times New Roman" w:cs="Times New Roman"/>
        </w:rPr>
        <w:t>Rotcze</w:t>
      </w:r>
      <w:proofErr w:type="spellEnd"/>
      <w:r>
        <w:rPr>
          <w:rFonts w:ascii="Times New Roman" w:hAnsi="Times New Roman" w:cs="Times New Roman"/>
        </w:rPr>
        <w:t>. Stwarzają one możliwość kąpieli, uprawiania sportów wodnych, a także wędkowania. Nad jeziorami powstały liczne ośrodki wypoczynkowe. Dzikie, zarastające jeziora stanowią raj dla ptactwa wodnego i wielu innych chronionych gatunków roślin i zwierząt. Jeziora Świerszczów i </w:t>
      </w:r>
      <w:proofErr w:type="spellStart"/>
      <w:r>
        <w:rPr>
          <w:rFonts w:ascii="Times New Roman" w:hAnsi="Times New Roman" w:cs="Times New Roman"/>
        </w:rPr>
        <w:t>Brzeziczno</w:t>
      </w:r>
      <w:proofErr w:type="spellEnd"/>
      <w:r>
        <w:rPr>
          <w:rFonts w:ascii="Times New Roman" w:hAnsi="Times New Roman" w:cs="Times New Roman"/>
        </w:rPr>
        <w:t xml:space="preserve"> zostały objęte ochroną jako rezerwaty. Jeziora </w:t>
      </w:r>
      <w:proofErr w:type="spellStart"/>
      <w:r>
        <w:rPr>
          <w:rFonts w:ascii="Times New Roman" w:hAnsi="Times New Roman" w:cs="Times New Roman"/>
        </w:rPr>
        <w:t>Łukie</w:t>
      </w:r>
      <w:proofErr w:type="spellEnd"/>
      <w:r>
        <w:rPr>
          <w:rFonts w:ascii="Times New Roman" w:hAnsi="Times New Roman" w:cs="Times New Roman"/>
        </w:rPr>
        <w:t xml:space="preserve">, </w:t>
      </w:r>
      <w:proofErr w:type="spellStart"/>
      <w:r>
        <w:rPr>
          <w:rFonts w:ascii="Times New Roman" w:hAnsi="Times New Roman" w:cs="Times New Roman"/>
        </w:rPr>
        <w:t>Moszne</w:t>
      </w:r>
      <w:proofErr w:type="spellEnd"/>
      <w:r>
        <w:rPr>
          <w:rFonts w:ascii="Times New Roman" w:hAnsi="Times New Roman" w:cs="Times New Roman"/>
        </w:rPr>
        <w:t xml:space="preserve">, Kraśne i Długie znajdują się w granicach Poleskiego Parku Narodowego. </w:t>
      </w:r>
    </w:p>
    <w:p w:rsidR="00DC75FA" w:rsidRDefault="00887D84">
      <w:pPr>
        <w:jc w:val="both"/>
        <w:rPr>
          <w:rFonts w:ascii="Times New Roman" w:hAnsi="Times New Roman" w:cs="Times New Roman"/>
        </w:rPr>
      </w:pPr>
      <w:r>
        <w:rPr>
          <w:rFonts w:ascii="Times New Roman" w:hAnsi="Times New Roman" w:cs="Times New Roman"/>
        </w:rPr>
        <w:t xml:space="preserve">Występowaniu znacznych terenów podmokłych, które decydują o poleskim charakterze tego obszaru sprzyja przede wszystkim płaskość terenu, która utrudnia spływ wody, a także płytkie zaleganie pierwszego poziomu wód gruntowych. W czasie wiosennych roztopów lub długotrwałych opadów  wielkie obszary pokrywa woda i stają się one niemal niedostępne. Bagna i torfowiska zajmują znaczną część terenu Pojezierza Łęczyńsko-Włodawskiego. Jest to obszar wyjątkowego bogactwa torfowisk wysokich, przejściowych, niskich, a także unikatowych torfowisk węglanowych (Bagno </w:t>
      </w:r>
      <w:proofErr w:type="spellStart"/>
      <w:r>
        <w:rPr>
          <w:rFonts w:ascii="Times New Roman" w:hAnsi="Times New Roman" w:cs="Times New Roman"/>
        </w:rPr>
        <w:t>Bubnów</w:t>
      </w:r>
      <w:proofErr w:type="spellEnd"/>
      <w:r>
        <w:rPr>
          <w:rFonts w:ascii="Times New Roman" w:hAnsi="Times New Roman" w:cs="Times New Roman"/>
        </w:rPr>
        <w:t>). Z tego powodu teren ten porównywany jest do miniatury europejskiej tundry i lasotundry, wysuniętej najdalej w Europie na południowych wschód.</w:t>
      </w:r>
    </w:p>
    <w:p w:rsidR="00DC75FA" w:rsidRDefault="00887D84">
      <w:pPr>
        <w:jc w:val="both"/>
        <w:rPr>
          <w:rFonts w:ascii="Times New Roman" w:hAnsi="Times New Roman" w:cs="Times New Roman"/>
        </w:rPr>
      </w:pPr>
      <w:r>
        <w:rPr>
          <w:rFonts w:ascii="Times New Roman" w:hAnsi="Times New Roman" w:cs="Times New Roman"/>
        </w:rPr>
        <w:t>W celu ochrony najcenniejszych i najbardziej charakterystycznych terenów wodno-błotnych, w latach 90. utworzono: Poleski Park Narodowy, Poleski Park Krajobrazowy, Park Krajobrazowy Pojezierze Łęczyńskie, Sobiborski Park Krajobrazowy, Nadwieprzański Park Krajobrazowy, a także liczne rezerwaty i obszary Natura 2000. W 2012 r. Poleski Park Narodowy, Sobiborski Park Krajobrazowy, Park Krajobrazowy Pojezierze Łęczyńskie, Lasy Włodawskie i Parczewskie weszły w skład Transgranicznego Rezerwatu Biosfery o nazwie „Polesie Zachodnie”, obejmującego tereny Polski, Białorusi i Ukrainy.</w:t>
      </w:r>
    </w:p>
    <w:p w:rsidR="00DC75FA" w:rsidRDefault="00887D84">
      <w:pPr>
        <w:jc w:val="both"/>
        <w:rPr>
          <w:rFonts w:ascii="Times New Roman" w:hAnsi="Times New Roman" w:cs="Times New Roman"/>
        </w:rPr>
      </w:pPr>
      <w:r>
        <w:rPr>
          <w:rFonts w:ascii="Times New Roman" w:hAnsi="Times New Roman" w:cs="Times New Roman"/>
        </w:rPr>
        <w:lastRenderedPageBreak/>
        <w:t>Duży wpływ na atrakcyjność turystyczną Pojezierza mają także rzeki Wierz, Bug oraz ich dopływy, które stanowią raj dla kajakarzy i wędkarzy. W celu regulacji stosunków wodnych, na obszarze tym w latach 1954–1961 zbudowano około 140 km Kanał Wieprz-Krzna.</w:t>
      </w:r>
    </w:p>
    <w:p w:rsidR="00DC75FA" w:rsidRDefault="00887D84">
      <w:pPr>
        <w:pStyle w:val="Legenda"/>
        <w:rPr>
          <w:rFonts w:ascii="Times New Roman" w:hAnsi="Times New Roman" w:cs="Times New Roman"/>
        </w:rPr>
      </w:pPr>
      <w:bookmarkStart w:id="8" w:name="_Toc75897197"/>
      <w:r>
        <w:rPr>
          <w:rFonts w:ascii="Times New Roman" w:hAnsi="Times New Roman" w:cs="Times New Roman"/>
        </w:rPr>
        <w:t xml:space="preserve">Tabela </w:t>
      </w:r>
      <w:r>
        <w:rPr>
          <w:rFonts w:ascii="Times New Roman" w:hAnsi="Times New Roman" w:cs="Times New Roman"/>
        </w:rPr>
        <w:fldChar w:fldCharType="begin"/>
      </w:r>
      <w:r>
        <w:rPr>
          <w:rFonts w:ascii="Times New Roman" w:hAnsi="Times New Roman" w:cs="Times New Roman"/>
        </w:rPr>
        <w:instrText>SEQ Tabela \* ARABIC</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Wybrane jeziora i torfowiska z obszaru współpracy ponadlokalnej Zielone Zagłębie</w:t>
      </w:r>
      <w:bookmarkEnd w:id="8"/>
    </w:p>
    <w:tbl>
      <w:tblPr>
        <w:tblW w:w="8740" w:type="dxa"/>
        <w:tblCellMar>
          <w:left w:w="70" w:type="dxa"/>
          <w:right w:w="70" w:type="dxa"/>
        </w:tblCellMar>
        <w:tblLook w:val="04A0" w:firstRow="1" w:lastRow="0" w:firstColumn="1" w:lastColumn="0" w:noHBand="0" w:noVBand="1"/>
      </w:tblPr>
      <w:tblGrid>
        <w:gridCol w:w="2081"/>
        <w:gridCol w:w="2679"/>
        <w:gridCol w:w="2380"/>
        <w:gridCol w:w="1600"/>
      </w:tblGrid>
      <w:tr w:rsidR="00DC75FA">
        <w:trPr>
          <w:trHeight w:val="300"/>
        </w:trPr>
        <w:tc>
          <w:tcPr>
            <w:tcW w:w="20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Nazwa jeziora</w:t>
            </w:r>
          </w:p>
        </w:tc>
        <w:tc>
          <w:tcPr>
            <w:tcW w:w="2679" w:type="dxa"/>
            <w:tcBorders>
              <w:top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Gmina</w:t>
            </w:r>
          </w:p>
        </w:tc>
        <w:tc>
          <w:tcPr>
            <w:tcW w:w="2380" w:type="dxa"/>
            <w:tcBorders>
              <w:top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Powierzchnia</w:t>
            </w:r>
          </w:p>
        </w:tc>
        <w:tc>
          <w:tcPr>
            <w:tcW w:w="1600" w:type="dxa"/>
            <w:tcBorders>
              <w:top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Głębokość</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Rogóźno</w:t>
            </w:r>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57,1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25,4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Łukcze</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56,5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8,9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Zagłębocze</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59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Piaseczno</w:t>
            </w:r>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84,7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38,8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Dratów (Łokietek)</w:t>
            </w:r>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107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Bikcze</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Krzczeń</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174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Brzeziczno</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97,78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A47575">
            <w:pPr>
              <w:spacing w:after="0" w:line="240" w:lineRule="auto"/>
              <w:jc w:val="center"/>
              <w:rPr>
                <w:rFonts w:ascii="Times New Roman" w:eastAsia="Times New Roman" w:hAnsi="Times New Roman" w:cs="Times New Roman"/>
                <w:color w:val="000000"/>
                <w:lang w:eastAsia="pl-PL"/>
              </w:rPr>
            </w:pPr>
            <w:hyperlink r:id="rId19">
              <w:r w:rsidR="00887D84">
                <w:rPr>
                  <w:rFonts w:ascii="Times New Roman" w:eastAsia="Times New Roman" w:hAnsi="Times New Roman" w:cs="Times New Roman"/>
                  <w:color w:val="000000"/>
                  <w:lang w:eastAsia="pl-PL"/>
                </w:rPr>
                <w:t>Sumin</w:t>
              </w:r>
            </w:hyperlink>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91,5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A47575">
            <w:pPr>
              <w:spacing w:after="0" w:line="240" w:lineRule="auto"/>
              <w:jc w:val="center"/>
              <w:rPr>
                <w:rFonts w:ascii="Times New Roman" w:eastAsia="Times New Roman" w:hAnsi="Times New Roman" w:cs="Times New Roman"/>
                <w:color w:val="000000"/>
                <w:lang w:eastAsia="pl-PL"/>
              </w:rPr>
            </w:pPr>
            <w:hyperlink r:id="rId20">
              <w:proofErr w:type="spellStart"/>
              <w:r w:rsidR="00887D84">
                <w:rPr>
                  <w:rFonts w:ascii="Times New Roman" w:eastAsia="Times New Roman" w:hAnsi="Times New Roman" w:cs="Times New Roman"/>
                  <w:color w:val="000000"/>
                  <w:lang w:eastAsia="pl-PL"/>
                </w:rPr>
                <w:t>Wytyckie</w:t>
              </w:r>
              <w:proofErr w:type="spellEnd"/>
            </w:hyperlink>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478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A47575">
            <w:pPr>
              <w:spacing w:after="0" w:line="240" w:lineRule="auto"/>
              <w:jc w:val="center"/>
              <w:rPr>
                <w:rFonts w:ascii="Times New Roman" w:eastAsia="Times New Roman" w:hAnsi="Times New Roman" w:cs="Times New Roman"/>
                <w:color w:val="000000"/>
                <w:lang w:eastAsia="pl-PL"/>
              </w:rPr>
            </w:pPr>
            <w:hyperlink r:id="rId21">
              <w:proofErr w:type="spellStart"/>
              <w:r w:rsidR="00887D84">
                <w:rPr>
                  <w:rFonts w:ascii="Times New Roman" w:eastAsia="Times New Roman" w:hAnsi="Times New Roman" w:cs="Times New Roman"/>
                  <w:color w:val="000000"/>
                  <w:lang w:eastAsia="pl-PL"/>
                </w:rPr>
                <w:t>Rotcze</w:t>
              </w:r>
              <w:proofErr w:type="spellEnd"/>
              <w:r w:rsidR="00887D84">
                <w:rPr>
                  <w:rFonts w:ascii="Times New Roman" w:eastAsia="Times New Roman" w:hAnsi="Times New Roman" w:cs="Times New Roman"/>
                  <w:color w:val="000000"/>
                  <w:lang w:eastAsia="pl-PL"/>
                </w:rPr>
                <w:t xml:space="preserve"> (Grabniak)</w:t>
              </w:r>
            </w:hyperlink>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45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Moszne</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Karaśne</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Płotycze</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10,6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 m</w:t>
            </w:r>
          </w:p>
        </w:tc>
      </w:tr>
      <w:tr w:rsidR="00DC75FA">
        <w:trPr>
          <w:trHeight w:val="6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Wereszczyńskie (</w:t>
            </w:r>
            <w:proofErr w:type="spellStart"/>
            <w:r>
              <w:rPr>
                <w:rFonts w:ascii="Times New Roman" w:eastAsia="Times New Roman" w:hAnsi="Times New Roman" w:cs="Times New Roman"/>
                <w:color w:val="000000"/>
                <w:lang w:eastAsia="pl-PL"/>
              </w:rPr>
              <w:t>Bombelek</w:t>
            </w:r>
            <w:proofErr w:type="spellEnd"/>
            <w:r>
              <w:rPr>
                <w:rFonts w:ascii="Times New Roman" w:eastAsia="Times New Roman" w:hAnsi="Times New Roman" w:cs="Times New Roman"/>
                <w:color w:val="000000"/>
                <w:lang w:eastAsia="pl-PL"/>
              </w:rPr>
              <w:t>)</w:t>
            </w:r>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5,2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Łukie</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150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6,5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Długie</w:t>
            </w:r>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28,4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r>
              <w:rPr>
                <w:rFonts w:ascii="Times New Roman" w:eastAsia="Times New Roman" w:hAnsi="Times New Roman" w:cs="Times New Roman"/>
                <w:color w:val="000000"/>
                <w:lang w:eastAsia="pl-PL"/>
              </w:rPr>
              <w:t xml:space="preserve"> </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Uściwierz</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Cyców</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284,1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6,6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Świerszczów</w:t>
            </w:r>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Cyców</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0,9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Uściwierzek</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Cyców</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Głębokie</w:t>
            </w:r>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Cyców</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11,4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5,7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Turowolskie</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Puchaczów</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0,5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Nadrybie</w:t>
            </w:r>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Puchaczów</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39,9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m</w:t>
            </w:r>
          </w:p>
        </w:tc>
      </w:tr>
      <w:tr w:rsidR="00DC75FA">
        <w:trPr>
          <w:trHeight w:val="300"/>
        </w:trPr>
        <w:tc>
          <w:tcPr>
            <w:tcW w:w="2080"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Uściwierzek</w:t>
            </w:r>
            <w:proofErr w:type="spellEnd"/>
          </w:p>
        </w:tc>
        <w:tc>
          <w:tcPr>
            <w:tcW w:w="26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Puchaczów</w:t>
            </w:r>
          </w:p>
        </w:tc>
        <w:tc>
          <w:tcPr>
            <w:tcW w:w="238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 ha</w:t>
            </w:r>
          </w:p>
        </w:tc>
        <w:tc>
          <w:tcPr>
            <w:tcW w:w="1600"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bl>
    <w:p w:rsidR="00DC75FA" w:rsidRDefault="00887D84">
      <w:pPr>
        <w:pStyle w:val="Legenda"/>
        <w:rPr>
          <w:rFonts w:ascii="Times New Roman" w:hAnsi="Times New Roman" w:cs="Times New Roman"/>
        </w:rPr>
      </w:pPr>
      <w:r>
        <w:rPr>
          <w:rFonts w:ascii="Times New Roman" w:hAnsi="Times New Roman" w:cs="Times New Roman"/>
        </w:rPr>
        <w:t>Źródło: Opracowanie własne na podstawie dokumentów strategicznych gmin i powiatu łęczyńskiego</w:t>
      </w:r>
    </w:p>
    <w:p w:rsidR="00DC75FA" w:rsidRDefault="00DC75FA">
      <w:pPr>
        <w:rPr>
          <w:rFonts w:ascii="Times New Roman" w:hAnsi="Times New Roman" w:cs="Times New Roman"/>
        </w:rPr>
      </w:pP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pStyle w:val="Akapitzlist"/>
              <w:spacing w:after="0" w:line="240" w:lineRule="auto"/>
              <w:ind w:left="0"/>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Obszar społeczeństwo – najważniejsze wnioski z diagnozy</w:t>
            </w:r>
          </w:p>
        </w:tc>
      </w:tr>
    </w:tbl>
    <w:p w:rsidR="00DC75FA" w:rsidRDefault="00DC75FA">
      <w:pPr>
        <w:pStyle w:val="Akapitzlist"/>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Na koniec 2019 r. liczba ludności Obszaru Funkcjonalnego wyniosła 32 477 i była o 0,6 % wyższa niż w 2015 r. w analizowanym okresie, najliczniejszą populacją cechowała się Gmina Milejów, Gmina Cyców, Gmina Puchaczów oraz Gmina Ludwin. Najmniejszą liczbę mieszkańców posiadała Gmina Urszulin.</w:t>
      </w:r>
    </w:p>
    <w:p w:rsidR="00DC75FA" w:rsidRDefault="00887D84">
      <w:pPr>
        <w:jc w:val="both"/>
        <w:rPr>
          <w:rFonts w:ascii="Times New Roman" w:hAnsi="Times New Roman" w:cs="Times New Roman"/>
        </w:rPr>
      </w:pPr>
      <w:r>
        <w:rPr>
          <w:rFonts w:ascii="Times New Roman" w:hAnsi="Times New Roman" w:cs="Times New Roman"/>
        </w:rPr>
        <w:t>Średnia gęstość zaludnienia na terenie OF w latach 2015-2019 początkowo wzrastała i w 2018 r. wyniosła 52,8 osoby na 1 km2, po czym w kolejnym roku zmniejszyła się i wyniosła 52,6 osoby na 1 km2.</w:t>
      </w:r>
    </w:p>
    <w:p w:rsidR="00DC75FA" w:rsidRDefault="00887D84">
      <w:pPr>
        <w:jc w:val="both"/>
        <w:rPr>
          <w:rFonts w:ascii="Times New Roman" w:hAnsi="Times New Roman" w:cs="Times New Roman"/>
        </w:rPr>
      </w:pPr>
      <w:r>
        <w:rPr>
          <w:rFonts w:ascii="Times New Roman" w:hAnsi="Times New Roman" w:cs="Times New Roman"/>
        </w:rPr>
        <w:t xml:space="preserve">Corocznie przyrost naturalny na 1 000 ludności w analizowanym okresie był dodatni. Największy przyrost naturalny odnotowano w 2016 roku (1,26) a najmniejszy w 2018 roku (wyniósł wówczas 0,1). </w:t>
      </w:r>
      <w:r>
        <w:rPr>
          <w:rFonts w:ascii="Times New Roman" w:hAnsi="Times New Roman" w:cs="Times New Roman"/>
        </w:rPr>
        <w:lastRenderedPageBreak/>
        <w:t>w 2019 r. na 1000 ludności odnotowano 11,08 urodzeń żywych, 10,12 zgonów, a przyrost naturalny wyniósł 0,95.</w:t>
      </w:r>
    </w:p>
    <w:p w:rsidR="00DC75FA" w:rsidRDefault="00887D84">
      <w:pPr>
        <w:jc w:val="both"/>
        <w:rPr>
          <w:rFonts w:ascii="Times New Roman" w:hAnsi="Times New Roman" w:cs="Times New Roman"/>
        </w:rPr>
      </w:pPr>
      <w:r>
        <w:rPr>
          <w:rFonts w:ascii="Times New Roman" w:hAnsi="Times New Roman" w:cs="Times New Roman"/>
        </w:rPr>
        <w:t>W analizowanym okresie na obszarze OF do 2018 r. saldo migracji było dodatnie (w 2018 r. wynosiło 71), ujemne saldo migracji nastąpiło dopiero w 2019 r. różnica ta wyniosła -25 (o 65 osób mniej niż w 2016 r.). w Gminie Cyców występuje najwyższe ujemne saldo migracji z wszystkich gmin z obszaru funkcjonalnego, Jedyne dodatnie wartości odnotowano w Gminie Ludwin (27, spadek o 19 w porównaniu do 2015 r.) oraz Puchaczów (spadek o 8, w 2019 r. saldo wynosiło 12).</w:t>
      </w:r>
    </w:p>
    <w:p w:rsidR="00DC75FA" w:rsidRDefault="00887D84">
      <w:pPr>
        <w:jc w:val="both"/>
        <w:rPr>
          <w:rFonts w:ascii="Times New Roman" w:hAnsi="Times New Roman" w:cs="Times New Roman"/>
        </w:rPr>
      </w:pPr>
      <w:r>
        <w:rPr>
          <w:rFonts w:ascii="Times New Roman" w:hAnsi="Times New Roman" w:cs="Times New Roman"/>
        </w:rPr>
        <w:t>W latach 2015–2019 liczba pracujących ogółem na obszarze OF wahała i w 2019 r. wyniosła ponad 9,4 tys. osób – o 0,2 tys. mniej niż w 2015 r. Analiza struktury pracujących według płci jednoznacznie wskazuje na przewagę mężczyzn wśród osób zatrudnionych. w 2019 r. mężczyźni stanowili ponad 77% ogólnej liczby zatrudnionych na terenie OF.</w:t>
      </w:r>
    </w:p>
    <w:p w:rsidR="00DC75FA" w:rsidRDefault="00887D84">
      <w:pPr>
        <w:jc w:val="both"/>
        <w:rPr>
          <w:rFonts w:ascii="Times New Roman" w:hAnsi="Times New Roman" w:cs="Times New Roman"/>
        </w:rPr>
      </w:pPr>
      <w:r>
        <w:rPr>
          <w:rFonts w:ascii="Times New Roman" w:hAnsi="Times New Roman" w:cs="Times New Roman"/>
        </w:rPr>
        <w:t>W analizowanym okresie liczba zarejestrowanych osób bezrobotnych na obszarze OF uległa obniżeniu – w 2019 r. wyniosła 903 osoby, co w porównaniu z 2015 r., kiedy zarejestrowane były 1 383 osoby, daje spadek o 35%. Pod względem płci w każdym z analizowanych lat wśród zarejestrowanych osób bezrobotnych dominowały kobiety (w 2019 r. stanowiły 58%).</w:t>
      </w:r>
    </w:p>
    <w:p w:rsidR="00DC75FA" w:rsidRDefault="00DC75FA">
      <w:pPr>
        <w:jc w:val="both"/>
        <w:rPr>
          <w:rFonts w:ascii="Times New Roman" w:hAnsi="Times New Roman" w:cs="Times New Roman"/>
        </w:rPr>
      </w:pP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Szkolnictwo i wychowanie</w:t>
            </w:r>
          </w:p>
        </w:tc>
      </w:tr>
    </w:tbl>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Na terenie OF działalność prowadzą placówki oświatowe zapewniające edukację na poziomie przedszkolnym i podstawowym.</w:t>
      </w:r>
    </w:p>
    <w:p w:rsidR="00DC75FA" w:rsidRDefault="00887D84">
      <w:pPr>
        <w:jc w:val="both"/>
        <w:rPr>
          <w:rFonts w:ascii="Times New Roman" w:hAnsi="Times New Roman" w:cs="Times New Roman"/>
        </w:rPr>
      </w:pPr>
      <w:r>
        <w:rPr>
          <w:rFonts w:ascii="Times New Roman" w:hAnsi="Times New Roman" w:cs="Times New Roman"/>
        </w:rPr>
        <w:t>W oparciu o analizę danych na przestrzeni lat 2015-2019 można zauważyć, że łączna liczba uczniów w przedszkolach i szkołach na obszarze OF systematycznie rośnie (poza rokiem 2016, w którym nastąpił nieznaczny spadek liczby uczniów). w ostatnim roku analizy ilość uczniów wynosiła 4 126 osób (+ 21,5 w stosunku do roku 2015). Jest to pozytywne zjawisko, w odniesieniu do ogólnopolskiego niżu demograficznego.</w:t>
      </w:r>
    </w:p>
    <w:p w:rsidR="00DC75FA" w:rsidRDefault="00DC75FA">
      <w:pPr>
        <w:rPr>
          <w:rFonts w:ascii="Times New Roman" w:hAnsi="Times New Roman" w:cs="Times New Roman"/>
        </w:rPr>
      </w:pPr>
    </w:p>
    <w:tbl>
      <w:tblPr>
        <w:tblStyle w:val="GridTable5DarkAccent5"/>
        <w:tblW w:w="9062" w:type="dxa"/>
        <w:shd w:val="clear" w:color="auto" w:fill="D9E2F3"/>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rPr>
            </w:pPr>
            <w:r>
              <w:rPr>
                <w:rFonts w:ascii="Times New Roman" w:hAnsi="Times New Roman" w:cs="Times New Roman"/>
                <w:sz w:val="32"/>
                <w:szCs w:val="32"/>
              </w:rPr>
              <w:t>Infrastruktur</w:t>
            </w:r>
            <w:r>
              <w:rPr>
                <w:rFonts w:ascii="Times New Roman" w:hAnsi="Times New Roman" w:cs="Times New Roman"/>
              </w:rPr>
              <w:t>a</w:t>
            </w:r>
          </w:p>
        </w:tc>
      </w:tr>
    </w:tbl>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Przez teren obszaru Zielonego Zagłębia przebiegają: droga krajowa (nr 82), drogi wojewódzkie (nr w 831, w 813, w 838, w 839, w 841, w 820, w 829), drogi powiatowe i gminne.</w:t>
      </w:r>
    </w:p>
    <w:p w:rsidR="00DC75FA" w:rsidRDefault="00887D84">
      <w:pPr>
        <w:jc w:val="both"/>
        <w:rPr>
          <w:rFonts w:ascii="Times New Roman" w:hAnsi="Times New Roman" w:cs="Times New Roman"/>
        </w:rPr>
      </w:pPr>
      <w:r>
        <w:rPr>
          <w:rFonts w:ascii="Times New Roman" w:hAnsi="Times New Roman" w:cs="Times New Roman"/>
        </w:rPr>
        <w:t>Przez teren obszaru Zielonego Zagłębia przebiega również linia kolejowa Bogdanka–Jaszczów stanowiąca własność Skarbu Państwa (wieczysty użytkownik: Lubelski Węgiel „Bogdanka” S.A.). Jest to linia przeznaczona dla ruchu wyłącznie towarowego, obsługująca wywóz węgla z Kopalni Węgla Kamiennego Lubelski Węgiel „Bogdanka” S.A. Linia kolejowa łączy się z magistralą Lublin–Chełm w miejscowości Jaszczów.</w:t>
      </w:r>
    </w:p>
    <w:p w:rsidR="00DC75FA" w:rsidRDefault="00887D84">
      <w:pPr>
        <w:jc w:val="both"/>
        <w:rPr>
          <w:rFonts w:ascii="Times New Roman" w:hAnsi="Times New Roman" w:cs="Times New Roman"/>
        </w:rPr>
      </w:pPr>
      <w:r>
        <w:rPr>
          <w:rFonts w:ascii="Times New Roman" w:hAnsi="Times New Roman" w:cs="Times New Roman"/>
        </w:rPr>
        <w:t>Od 2015 r. liczba mieszkań na terenie obszaru Zielonego Zagłębia systematycznie wzrastała. w 2019 r. na obszarze znajdowało się 10 640 mieszkań (o 3,2% więcej niż w 2015 r.). o 2,36% wzrosła również wartość wskaźnika liczby mieszkań przypadających na 1 000 mieszkańców – w ostatnim analizowanym roku wyniosła 328,9 wobec 321,3 w 2015 r. Wraz ze wzrostem liczby mieszkań wzrastała również ich powierzchnia użytkowa: przeciętna powierzchnia użytkowa 1 mieszkania w 2019 r. wyniosła 89,5 m</w:t>
      </w:r>
      <w:r>
        <w:rPr>
          <w:rFonts w:ascii="Times New Roman" w:hAnsi="Times New Roman" w:cs="Times New Roman"/>
          <w:vertAlign w:val="superscript"/>
        </w:rPr>
        <w:t>2</w:t>
      </w:r>
      <w:r>
        <w:rPr>
          <w:rFonts w:ascii="Times New Roman" w:hAnsi="Times New Roman" w:cs="Times New Roman"/>
        </w:rPr>
        <w:t xml:space="preserve"> (o 0,8 m2 więcej niż w 2015 r.), zaś przeciętna powierzchnia użytkowa mieszkania przypadająca na 1 osobę wyniosła 29,3 m2 (o 0,9 m</w:t>
      </w:r>
      <w:r>
        <w:rPr>
          <w:rFonts w:ascii="Times New Roman" w:hAnsi="Times New Roman" w:cs="Times New Roman"/>
          <w:vertAlign w:val="superscript"/>
        </w:rPr>
        <w:t>2</w:t>
      </w:r>
      <w:r>
        <w:rPr>
          <w:rFonts w:ascii="Times New Roman" w:hAnsi="Times New Roman" w:cs="Times New Roman"/>
        </w:rPr>
        <w:t xml:space="preserve"> więcej niż w 2015 r.).</w:t>
      </w:r>
    </w:p>
    <w:p w:rsidR="00DC75FA" w:rsidRDefault="00887D84">
      <w:pPr>
        <w:jc w:val="both"/>
        <w:rPr>
          <w:rFonts w:ascii="Times New Roman" w:hAnsi="Times New Roman" w:cs="Times New Roman"/>
        </w:rPr>
      </w:pPr>
      <w:r>
        <w:rPr>
          <w:rFonts w:ascii="Times New Roman" w:hAnsi="Times New Roman" w:cs="Times New Roman"/>
        </w:rPr>
        <w:lastRenderedPageBreak/>
        <w:t>Na terenie OF wszystkie jednostki samorządu terytorialnego mają dostęp do wodociągów i kanalizacji. Na terenie OF sieć gazowa występuje w Gminie Puchaczów (50,6 km w 2019 r.), Gminie Ludwin (30,3 km) oraz Gminie Milejów (6,7 km). Pozostałe jednostki samorządu nie posiadają na swoim terenie gazu sieciowego.</w:t>
      </w: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Aktywność gospodarcza</w:t>
            </w:r>
          </w:p>
        </w:tc>
      </w:tr>
    </w:tbl>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Na terenie obszaru Zielonego Zagłębia obszary wykorzystywane rolniczo stanowią niemal 69% powierzchni ogółem.</w:t>
      </w:r>
    </w:p>
    <w:p w:rsidR="00DC75FA" w:rsidRDefault="00887D84">
      <w:pPr>
        <w:jc w:val="both"/>
        <w:rPr>
          <w:rFonts w:ascii="Times New Roman" w:hAnsi="Times New Roman" w:cs="Times New Roman"/>
        </w:rPr>
      </w:pPr>
      <w:r>
        <w:rPr>
          <w:rFonts w:ascii="Times New Roman" w:hAnsi="Times New Roman" w:cs="Times New Roman"/>
        </w:rPr>
        <w:t>Z Powszechnego Spisu Rolnego przeprowadzonego w 2010 r. (najnowsze dostępne dane) wynika, że na terenie obszaru Zielonego Zagłębia istniało 6 457 gospodarstw domowych, z czego ponad 89% utrzymywało się z działalności rolniczej.</w:t>
      </w:r>
    </w:p>
    <w:p w:rsidR="00DC75FA" w:rsidRDefault="00887D84">
      <w:pPr>
        <w:jc w:val="both"/>
        <w:rPr>
          <w:rFonts w:ascii="Times New Roman" w:hAnsi="Times New Roman" w:cs="Times New Roman"/>
        </w:rPr>
      </w:pPr>
      <w:r>
        <w:rPr>
          <w:rFonts w:ascii="Times New Roman" w:hAnsi="Times New Roman" w:cs="Times New Roman"/>
        </w:rPr>
        <w:t>Na terenie obszaru Zielonego Zagłębia większość gospodarstw rolnych ma charakter tradycyjny. Nie ma gospodarstw zajmujących się innowacyjną produkcją ekologiczną.</w:t>
      </w:r>
    </w:p>
    <w:p w:rsidR="00DC75FA" w:rsidRDefault="00887D84">
      <w:pPr>
        <w:jc w:val="both"/>
        <w:rPr>
          <w:rFonts w:ascii="Times New Roman" w:hAnsi="Times New Roman" w:cs="Times New Roman"/>
        </w:rPr>
      </w:pPr>
      <w:r>
        <w:rPr>
          <w:rFonts w:ascii="Times New Roman" w:hAnsi="Times New Roman" w:cs="Times New Roman"/>
        </w:rPr>
        <w:t>W latach 2015–2019 liczba podmiotów gospodarczych wpisanych do rejestru REGON na terenie obszaru Zielonego Zagłębia wzrosła z poziomu 1 665 do 1 868, wykazując tym samym tempo wzrostu na poziomie 12%. Biorąc pod uwagę strukturę własności zdecydowanie dominowały przedsiębiorstwa z sektora prywatnego – w 2019 r. stanowiły 94% ogółu przedsiębiorstw.</w:t>
      </w:r>
    </w:p>
    <w:p w:rsidR="00DC75FA" w:rsidRDefault="00887D84">
      <w:pPr>
        <w:jc w:val="both"/>
        <w:rPr>
          <w:rFonts w:ascii="Times New Roman" w:hAnsi="Times New Roman" w:cs="Times New Roman"/>
        </w:rPr>
      </w:pPr>
      <w:r>
        <w:rPr>
          <w:rFonts w:ascii="Times New Roman" w:hAnsi="Times New Roman" w:cs="Times New Roman"/>
        </w:rPr>
        <w:t>Analiza struktury sektora przedsiębiorstw pod względem klas wielkości pokazuje, że dominującą grupą przedsiębiorstw w latach 2015–2019 były mikroprzedsiębiorstwa, zatrudniające do 9 pracowników, które w 2019 r. stanowiły 95,9% wszystkich przedsiębiorstw. Należy przy tym zauważyć, że ich liczba wzrastała z roku na rok i w 2019 r. była o 12,6% większa niż w 2015 r. Drugą grupą pod względem liczebności w strukturze przedsiębiorstw wg klas wielkości były przedsiębiorstwa małe, stanowiące w 2019 r. 3,2% ogółu przedsiębiorstw. w całym obszarze funkcjonalnym znajduje się tylko jeden podmiot zatrudniający powyżej 1 000 pracowników.</w:t>
      </w:r>
    </w:p>
    <w:p w:rsidR="00DC75FA" w:rsidRDefault="00887D84">
      <w:pPr>
        <w:jc w:val="both"/>
        <w:rPr>
          <w:rFonts w:ascii="Times New Roman" w:hAnsi="Times New Roman" w:cs="Times New Roman"/>
        </w:rPr>
      </w:pPr>
      <w:r>
        <w:rPr>
          <w:rFonts w:ascii="Times New Roman" w:hAnsi="Times New Roman" w:cs="Times New Roman"/>
        </w:rPr>
        <w:t>Struktura branż gospodarki na terenie obszaru Zielonego Zagłębia wykazuje dominację firm prowadzących działalność inną niż rolnictwo, leśnictwo, łowiectwo, rybactwo. Spośród 1 868 przedsiębiorstw zarejestrowanych w rejestrze REGON na terenie OF w 2019 r. tylko 60 firm zajmowało się rolnictwem, leśnictwem, łowiectwem bądź rybactwem, a ich liczba w porównaniu z 2015 r. zmniejszyła się o 22%. Najliczniej reprezentowaną branżą wśród wszystkich podmiotów gospodarczych była „pozostała działalność”, stanowiąca w 2019 r. niemal 70% łącznej liczby przedsiębiorstw. 27% wszystkich podmiotów działających na obszarze obszaru Zielonego Zagłębia to podmioty działające w przemyśle oraz budownictwie.</w:t>
      </w:r>
    </w:p>
    <w:p w:rsidR="00DC75FA" w:rsidRDefault="00887D84">
      <w:pPr>
        <w:jc w:val="both"/>
        <w:rPr>
          <w:rFonts w:ascii="Times New Roman" w:hAnsi="Times New Roman" w:cs="Times New Roman"/>
        </w:rPr>
      </w:pPr>
      <w:r>
        <w:rPr>
          <w:rFonts w:ascii="Times New Roman" w:hAnsi="Times New Roman" w:cs="Times New Roman"/>
        </w:rPr>
        <w:t>Analiza zmian w liczbie podmiotów zarejestrowanych w rejestrze REGON pokazuje, że w większości analizowanych lat, liczba podmiotów nowo zarejestrowanych w rejestrze REGON przewyższała liczbę podmiotów wyrejestrowanych z rejestru. Wyjątkiem był 2016 r., w którym na 126 nowo zarejestrowanych firm, 139 zostało wyrejestrowanych. w 2019 r. zarejestrowano 196 nowych przedsiębiorstw – o 21 więcej niż w 2015 r. – a wyrejestrowano 112 podmiotów (o 16 mniej niż w 2015 r.).</w:t>
      </w:r>
    </w:p>
    <w:p w:rsidR="00DC75FA" w:rsidRDefault="00887D84">
      <w:pPr>
        <w:jc w:val="both"/>
        <w:rPr>
          <w:rFonts w:ascii="Times New Roman" w:hAnsi="Times New Roman" w:cs="Times New Roman"/>
        </w:rPr>
      </w:pPr>
      <w:r>
        <w:rPr>
          <w:rFonts w:ascii="Times New Roman" w:hAnsi="Times New Roman" w:cs="Times New Roman"/>
        </w:rPr>
        <w:t>Wskaźnik podmiotów gospodarczych wpisanych do rejestru REGON na 1 tys. ludności na terenie obszaru Zielonego Zagłębia w latach 2015–2019 (poza 2016 r. w którym odnotowano niewielki spadek) wzrastał i w 2019 r. wyniósł 59. o 13% (do poziomu 96) wzrosła również wartość wskaźnika podmiotów na 1 000 mieszkańców w wieku produkcyjnym, a o 10,7% (do poziomu 43,4) wzrosła wartość wskaźnika osób fizycznych prowadzących działalność gospodarczą na 1 000 ludności.</w:t>
      </w:r>
    </w:p>
    <w:p w:rsidR="00DC75FA" w:rsidRDefault="00DC75FA">
      <w:pPr>
        <w:jc w:val="both"/>
        <w:rPr>
          <w:rFonts w:ascii="Times New Roman" w:hAnsi="Times New Roman" w:cs="Times New Roman"/>
        </w:rPr>
      </w:pP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lastRenderedPageBreak/>
              <w:t>Kultura, wizerunek i czas wolny</w:t>
            </w:r>
          </w:p>
        </w:tc>
      </w:tr>
    </w:tbl>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Rola kultury w tworzeniu tożsamości regionu jest niepowtarzalna. Stanowi ona dorobek przeszłych pokoleń, uzupełniony współczesną twórczą działalnością. Życie kulturalne na terenie obszaru Zielonego Zagłębia tworzą następujące domy i ośrodki kultury: Gminny Dom Kultury w Cycowie, Gminne Centrum Kultury i Sportu w Ludwinie, Gminny Ośrodek Kultury w Milejowie, Gminny Ośrodek Kultury w Puchaczowie,</w:t>
      </w:r>
    </w:p>
    <w:p w:rsidR="00DC75FA" w:rsidRDefault="00887D84">
      <w:pPr>
        <w:jc w:val="both"/>
        <w:rPr>
          <w:rFonts w:ascii="Times New Roman" w:hAnsi="Times New Roman" w:cs="Times New Roman"/>
        </w:rPr>
      </w:pPr>
      <w:r>
        <w:rPr>
          <w:rFonts w:ascii="Times New Roman" w:hAnsi="Times New Roman" w:cs="Times New Roman"/>
        </w:rPr>
        <w:t>Instytucjami, które także odpowiadają za rozwój kultury są biblioteki publiczne. Na terenie obszaru Zielonego Zagłębia prowadzi działalność 5 bibliotek i 8 filii</w:t>
      </w:r>
    </w:p>
    <w:p w:rsidR="00DC75FA" w:rsidRDefault="00887D84">
      <w:pPr>
        <w:jc w:val="both"/>
        <w:rPr>
          <w:rFonts w:ascii="Times New Roman" w:hAnsi="Times New Roman" w:cs="Times New Roman"/>
        </w:rPr>
      </w:pPr>
      <w:r>
        <w:rPr>
          <w:rFonts w:ascii="Times New Roman" w:hAnsi="Times New Roman" w:cs="Times New Roman"/>
        </w:rPr>
        <w:t xml:space="preserve">W analizowanym okresie księgozbiór zgromadzony w bibliotekach na terenie obszaru Zielonego Zagłębia systematycznie się zwiększał – w 2019 r. jego wolumin wyniósł 96 657, przy łącznej liczbie </w:t>
      </w:r>
      <w:proofErr w:type="spellStart"/>
      <w:r>
        <w:rPr>
          <w:rFonts w:ascii="Times New Roman" w:hAnsi="Times New Roman" w:cs="Times New Roman"/>
        </w:rPr>
        <w:t>wypożyczeń</w:t>
      </w:r>
      <w:proofErr w:type="spellEnd"/>
      <w:r>
        <w:rPr>
          <w:rFonts w:ascii="Times New Roman" w:hAnsi="Times New Roman" w:cs="Times New Roman"/>
        </w:rPr>
        <w:t xml:space="preserve"> na zewnątrz równej 104 587. w ciągu roku biblioteki funkcjonujące na terenie obszaru gromadziły średnio 6,4 tys. czytelników.</w:t>
      </w:r>
    </w:p>
    <w:p w:rsidR="00DC75FA" w:rsidRDefault="00DC75FA">
      <w:pPr>
        <w:jc w:val="both"/>
        <w:rPr>
          <w:rFonts w:ascii="Times New Roman" w:hAnsi="Times New Roman" w:cs="Times New Roman"/>
        </w:rPr>
      </w:pP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Jakość życia</w:t>
            </w:r>
          </w:p>
        </w:tc>
      </w:tr>
    </w:tbl>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Zadania z zakresu opieki zdrowotnej na terenie obszaru Zielonego Zagłębia wykonywane są za pośrednictwem ośrodków zlokalizowanych w poszczególnych jednostkach samorządu terytorialnego, w tym publicznych i niepublicznych zakładów opieki zdrowotnej, przychodni oraz ośrodków zdrowia.</w:t>
      </w:r>
    </w:p>
    <w:p w:rsidR="00DC75FA" w:rsidRDefault="00887D84">
      <w:pPr>
        <w:jc w:val="both"/>
        <w:rPr>
          <w:rFonts w:ascii="Times New Roman" w:hAnsi="Times New Roman" w:cs="Times New Roman"/>
        </w:rPr>
      </w:pPr>
      <w:r>
        <w:rPr>
          <w:rFonts w:ascii="Times New Roman" w:hAnsi="Times New Roman" w:cs="Times New Roman"/>
        </w:rPr>
        <w:t>Każda jednostka samorządu terytorialnego wchodząca w skład obszaru Zielonego Zagłębia prowadzi Gminny Ośrodek Pomocy Społecznej, realizujący zadania z zakresu pomocy społecznej. Ośrodki są jednostkami organizacyjnymi wykonującymi zadania z zakresu pomocy społecznej na podstawie ustawy o pomocy społecznej.</w:t>
      </w:r>
    </w:p>
    <w:p w:rsidR="00DC75FA" w:rsidRDefault="00887D84">
      <w:pPr>
        <w:jc w:val="both"/>
        <w:rPr>
          <w:rFonts w:ascii="Times New Roman" w:hAnsi="Times New Roman" w:cs="Times New Roman"/>
        </w:rPr>
      </w:pPr>
      <w:r>
        <w:rPr>
          <w:rFonts w:ascii="Times New Roman" w:hAnsi="Times New Roman" w:cs="Times New Roman"/>
        </w:rPr>
        <w:t>Jednostki samorządu terytorialnego wchodzące w skład obszaru Zielonego Zagłębia podlegają pod zasięg działania Komendy Powiatowej Policji w Łęcznej (Gmina Cyców, Gmina Ludwin, Gmina Milejów oraz Gmina Puchaczów) i Komendy Powiatowej Policji we Włodawie (Gmina Urszulin).</w:t>
      </w:r>
    </w:p>
    <w:p w:rsidR="00DC75FA" w:rsidRDefault="00887D84">
      <w:pPr>
        <w:jc w:val="both"/>
        <w:rPr>
          <w:rFonts w:ascii="Times New Roman" w:hAnsi="Times New Roman" w:cs="Times New Roman"/>
        </w:rPr>
      </w:pPr>
      <w:r>
        <w:rPr>
          <w:rFonts w:ascii="Times New Roman" w:hAnsi="Times New Roman" w:cs="Times New Roman"/>
        </w:rPr>
        <w:t>Na terenie obszaru bezpieczeństwo przeciwpożarowe zapewniają jednostki ochotniczych straży pożarnych, prowadzące działalność w każdej gminie wchodzącej w skład obszaru.</w:t>
      </w:r>
    </w:p>
    <w:p w:rsidR="00DC75FA" w:rsidRDefault="00DC75FA">
      <w:pPr>
        <w:rPr>
          <w:rFonts w:ascii="Times New Roman" w:hAnsi="Times New Roman" w:cs="Times New Roman"/>
        </w:rPr>
      </w:pPr>
    </w:p>
    <w:tbl>
      <w:tblPr>
        <w:tblStyle w:val="PlainTable4"/>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2F5496" w:themeFill="accent5" w:themeFillShade="BF"/>
          </w:tcPr>
          <w:p w:rsidR="00DC75FA" w:rsidRDefault="00887D84">
            <w:pPr>
              <w:spacing w:after="0" w:line="240" w:lineRule="auto"/>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Pomoc społeczna i aktywizacja osób zagrożonych wykluczeniem</w:t>
            </w:r>
          </w:p>
        </w:tc>
      </w:tr>
    </w:tbl>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Gminy współpracujące w ramach obszaru współpracy ponadlokalnej Zielone Zagłębie należą raczej do grupy rozwiniętych i bogatszych gmin województwa lubelskiego. Jakkolwiek zjawisko wykluczenia obecne jest również wśród mieszkańców obszaru – co prawda w rankingu gmin w województwie pod względem beneficjentów środowiskowej pomocy Gmina Ludwin jest dopiero na 90 miejscu a gmina Urszulin aż na 200 miejscu (dane za rok 2019), to jednak poziom ten jest wciąż wysoki – zwłaszcza, że całe województwo lubelskie zalicza się do najbiedniejszych województw w Polsce (i w Unii Europejskiej).</w:t>
      </w:r>
    </w:p>
    <w:p w:rsidR="00DC75FA" w:rsidRDefault="00887D84">
      <w:pPr>
        <w:pStyle w:val="Legenda"/>
        <w:rPr>
          <w:rFonts w:ascii="Times New Roman" w:hAnsi="Times New Roman" w:cs="Times New Roman"/>
        </w:rPr>
      </w:pPr>
      <w:bookmarkStart w:id="9" w:name="_Toc75897198"/>
      <w:r>
        <w:rPr>
          <w:rFonts w:ascii="Times New Roman" w:hAnsi="Times New Roman" w:cs="Times New Roman"/>
        </w:rPr>
        <w:t xml:space="preserve">Tabela </w:t>
      </w:r>
      <w:r>
        <w:rPr>
          <w:rFonts w:ascii="Times New Roman" w:hAnsi="Times New Roman" w:cs="Times New Roman"/>
        </w:rPr>
        <w:fldChar w:fldCharType="begin"/>
      </w:r>
      <w:r>
        <w:rPr>
          <w:rFonts w:ascii="Times New Roman" w:hAnsi="Times New Roman" w:cs="Times New Roman"/>
        </w:rPr>
        <w:instrText>SEQ Tabela \* ARABIC</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Beneficjenci środowiskowej pomocy społecznej - wskaźniki</w:t>
      </w:r>
      <w:bookmarkEnd w:id="9"/>
    </w:p>
    <w:tbl>
      <w:tblPr>
        <w:tblW w:w="9278" w:type="dxa"/>
        <w:tblCellMar>
          <w:left w:w="70" w:type="dxa"/>
          <w:right w:w="70" w:type="dxa"/>
        </w:tblCellMar>
        <w:tblLook w:val="04A0" w:firstRow="1" w:lastRow="0" w:firstColumn="1" w:lastColumn="0" w:noHBand="0" w:noVBand="1"/>
      </w:tblPr>
      <w:tblGrid>
        <w:gridCol w:w="1139"/>
        <w:gridCol w:w="1480"/>
        <w:gridCol w:w="1912"/>
        <w:gridCol w:w="2126"/>
        <w:gridCol w:w="2621"/>
      </w:tblGrid>
      <w:tr w:rsidR="00DC75FA">
        <w:trPr>
          <w:trHeight w:val="1094"/>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lastRenderedPageBreak/>
              <w:t> </w:t>
            </w:r>
          </w:p>
        </w:tc>
        <w:tc>
          <w:tcPr>
            <w:tcW w:w="1480" w:type="dxa"/>
            <w:tcBorders>
              <w:top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beneficjenci środowiskowej pomocy społecznej na 10 000 </w:t>
            </w:r>
            <w:proofErr w:type="spellStart"/>
            <w:r>
              <w:rPr>
                <w:rFonts w:ascii="Times New Roman" w:eastAsia="Times New Roman" w:hAnsi="Times New Roman" w:cs="Times New Roman"/>
                <w:color w:val="000000"/>
                <w:sz w:val="18"/>
                <w:szCs w:val="18"/>
                <w:lang w:eastAsia="pl-PL"/>
              </w:rPr>
              <w:t>mszk</w:t>
            </w:r>
            <w:proofErr w:type="spellEnd"/>
            <w:r>
              <w:rPr>
                <w:rFonts w:ascii="Times New Roman" w:eastAsia="Times New Roman" w:hAnsi="Times New Roman" w:cs="Times New Roman"/>
                <w:color w:val="000000"/>
                <w:sz w:val="18"/>
                <w:szCs w:val="18"/>
                <w:lang w:eastAsia="pl-PL"/>
              </w:rPr>
              <w:t>.</w:t>
            </w:r>
          </w:p>
        </w:tc>
        <w:tc>
          <w:tcPr>
            <w:tcW w:w="1912" w:type="dxa"/>
            <w:tcBorders>
              <w:top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gospodarstwa domowe korzystające z pomocy środowiskowej</w:t>
            </w:r>
          </w:p>
        </w:tc>
        <w:tc>
          <w:tcPr>
            <w:tcW w:w="2126" w:type="dxa"/>
            <w:tcBorders>
              <w:top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gospodarstwa domowe korzystające z pomocy środowiskowej poniżej progu dochodowego</w:t>
            </w:r>
          </w:p>
        </w:tc>
        <w:tc>
          <w:tcPr>
            <w:tcW w:w="2621" w:type="dxa"/>
            <w:tcBorders>
              <w:top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udział rodzin poniżej progu dochodowego w grupie rodzin wspieranych w ramach pomocy środowiskowej </w:t>
            </w:r>
          </w:p>
        </w:tc>
      </w:tr>
      <w:tr w:rsidR="00DC75FA">
        <w:trPr>
          <w:trHeight w:val="300"/>
        </w:trPr>
        <w:tc>
          <w:tcPr>
            <w:tcW w:w="1139" w:type="dxa"/>
            <w:tcBorders>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Ludwin</w:t>
            </w:r>
          </w:p>
        </w:tc>
        <w:tc>
          <w:tcPr>
            <w:tcW w:w="1480"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744</w:t>
            </w:r>
          </w:p>
        </w:tc>
        <w:tc>
          <w:tcPr>
            <w:tcW w:w="1912"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158</w:t>
            </w:r>
          </w:p>
        </w:tc>
        <w:tc>
          <w:tcPr>
            <w:tcW w:w="2126"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88</w:t>
            </w:r>
          </w:p>
        </w:tc>
        <w:tc>
          <w:tcPr>
            <w:tcW w:w="2621"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55,70%</w:t>
            </w:r>
          </w:p>
        </w:tc>
      </w:tr>
      <w:tr w:rsidR="00DC75FA">
        <w:trPr>
          <w:trHeight w:val="300"/>
        </w:trPr>
        <w:tc>
          <w:tcPr>
            <w:tcW w:w="1139" w:type="dxa"/>
            <w:tcBorders>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Milejów</w:t>
            </w:r>
          </w:p>
        </w:tc>
        <w:tc>
          <w:tcPr>
            <w:tcW w:w="1480"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591</w:t>
            </w:r>
          </w:p>
        </w:tc>
        <w:tc>
          <w:tcPr>
            <w:tcW w:w="1912"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221</w:t>
            </w:r>
          </w:p>
        </w:tc>
        <w:tc>
          <w:tcPr>
            <w:tcW w:w="2126"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158</w:t>
            </w:r>
          </w:p>
        </w:tc>
        <w:tc>
          <w:tcPr>
            <w:tcW w:w="2621"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71,49%</w:t>
            </w:r>
          </w:p>
        </w:tc>
      </w:tr>
      <w:tr w:rsidR="00DC75FA">
        <w:trPr>
          <w:trHeight w:val="300"/>
        </w:trPr>
        <w:tc>
          <w:tcPr>
            <w:tcW w:w="1139" w:type="dxa"/>
            <w:tcBorders>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Cyców</w:t>
            </w:r>
          </w:p>
        </w:tc>
        <w:tc>
          <w:tcPr>
            <w:tcW w:w="1480"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494</w:t>
            </w:r>
          </w:p>
        </w:tc>
        <w:tc>
          <w:tcPr>
            <w:tcW w:w="1912"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152</w:t>
            </w:r>
          </w:p>
        </w:tc>
        <w:tc>
          <w:tcPr>
            <w:tcW w:w="2126"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112</w:t>
            </w:r>
          </w:p>
        </w:tc>
        <w:tc>
          <w:tcPr>
            <w:tcW w:w="2621"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73,68%</w:t>
            </w:r>
          </w:p>
        </w:tc>
      </w:tr>
      <w:tr w:rsidR="00DC75FA">
        <w:trPr>
          <w:trHeight w:val="300"/>
        </w:trPr>
        <w:tc>
          <w:tcPr>
            <w:tcW w:w="1139" w:type="dxa"/>
            <w:tcBorders>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Puchaczów</w:t>
            </w:r>
          </w:p>
        </w:tc>
        <w:tc>
          <w:tcPr>
            <w:tcW w:w="1480"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345</w:t>
            </w:r>
          </w:p>
        </w:tc>
        <w:tc>
          <w:tcPr>
            <w:tcW w:w="1912"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93</w:t>
            </w:r>
          </w:p>
        </w:tc>
        <w:tc>
          <w:tcPr>
            <w:tcW w:w="2126"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42</w:t>
            </w:r>
          </w:p>
        </w:tc>
        <w:tc>
          <w:tcPr>
            <w:tcW w:w="2621"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45,16%</w:t>
            </w:r>
          </w:p>
        </w:tc>
      </w:tr>
      <w:tr w:rsidR="00DC75FA">
        <w:trPr>
          <w:trHeight w:val="300"/>
        </w:trPr>
        <w:tc>
          <w:tcPr>
            <w:tcW w:w="1139" w:type="dxa"/>
            <w:tcBorders>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Urszulin</w:t>
            </w:r>
          </w:p>
        </w:tc>
        <w:tc>
          <w:tcPr>
            <w:tcW w:w="1480"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229</w:t>
            </w:r>
          </w:p>
        </w:tc>
        <w:tc>
          <w:tcPr>
            <w:tcW w:w="1912"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56</w:t>
            </w:r>
          </w:p>
        </w:tc>
        <w:tc>
          <w:tcPr>
            <w:tcW w:w="2126"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39</w:t>
            </w:r>
          </w:p>
        </w:tc>
        <w:tc>
          <w:tcPr>
            <w:tcW w:w="2621"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69,64%</w:t>
            </w:r>
          </w:p>
        </w:tc>
      </w:tr>
    </w:tbl>
    <w:p w:rsidR="00DC75FA" w:rsidRDefault="00887D84">
      <w:pPr>
        <w:pStyle w:val="Legenda"/>
        <w:rPr>
          <w:rFonts w:ascii="Times New Roman" w:hAnsi="Times New Roman" w:cs="Times New Roman"/>
        </w:rPr>
      </w:pPr>
      <w:r>
        <w:rPr>
          <w:rFonts w:ascii="Times New Roman" w:hAnsi="Times New Roman" w:cs="Times New Roman"/>
        </w:rPr>
        <w:t>Źródło: Opracowanie własne na podstawie danych Urzędu Statystycznego.</w:t>
      </w:r>
    </w:p>
    <w:p w:rsidR="00DC75FA" w:rsidRDefault="00887D84">
      <w:pPr>
        <w:jc w:val="both"/>
        <w:rPr>
          <w:rFonts w:ascii="Times New Roman" w:hAnsi="Times New Roman" w:cs="Times New Roman"/>
        </w:rPr>
      </w:pPr>
      <w:r>
        <w:rPr>
          <w:rFonts w:ascii="Times New Roman" w:hAnsi="Times New Roman" w:cs="Times New Roman"/>
        </w:rPr>
        <w:t>Analizując bezrobocie wśród ludności w wieku produkcyjnym należy stwierdzić, że gminy powiatu łęczyńskiego zajmują dalekie miejsce w rankingach od 135 (gmina Ludwin) do 176 (gmina Puchaczów) – niestety gmina Urszulin wysuwa się daleko na prowadzenie zajmując aż 53 miejsce w rankingu wszystkich gmin województwa lubelskiego. Uzupełnieniem analizy jest dosyć dobra sytuacja na rynku pracy – poza zatrudnieniem w rolnictwie i usługach (w tym turystycznych) największym pracodawcą jest przedsiębiorstwo Lubelski Węgiel Bogdanka S.A. – należy jednak zwrócić uwagę na zatrudnienie w zakładzie głównie mężczyzn. Oznacza to, że stosunkowo duże bezrobocie wśród kobiet może wynikać bądź z małej podaży etatów dla kobiet lub problemami w zapewnieniu opieki dla osób zależnych (dzieci i osób starszych wymagających opieki). Aby przełamać ten trend gminy zgłaszają zapotrzebowanie zarówno na tworzenie nowych form opieki nad dziećmi do lat 6 jak też opieki środowiskowej lub całodobowej dla seniorów i zależnych osób niepełnosprawnych.</w:t>
      </w:r>
    </w:p>
    <w:p w:rsidR="00DC75FA" w:rsidRDefault="00887D84">
      <w:pPr>
        <w:rPr>
          <w:rFonts w:ascii="Times New Roman" w:hAnsi="Times New Roman" w:cs="Times New Roman"/>
        </w:rPr>
      </w:pPr>
      <w:r>
        <w:rPr>
          <w:rFonts w:ascii="Times New Roman" w:hAnsi="Times New Roman" w:cs="Times New Roman"/>
        </w:rPr>
        <w:t xml:space="preserve"> </w:t>
      </w:r>
    </w:p>
    <w:p w:rsidR="00DC75FA" w:rsidRDefault="00887D84">
      <w:pPr>
        <w:pStyle w:val="Legenda"/>
        <w:rPr>
          <w:rFonts w:ascii="Times New Roman" w:hAnsi="Times New Roman" w:cs="Times New Roman"/>
        </w:rPr>
      </w:pPr>
      <w:bookmarkStart w:id="10" w:name="_Toc75897203"/>
      <w:r>
        <w:rPr>
          <w:rFonts w:ascii="Times New Roman" w:hAnsi="Times New Roman" w:cs="Times New Roman"/>
        </w:rPr>
        <w:t xml:space="preserve">Wykres </w:t>
      </w:r>
      <w:r>
        <w:rPr>
          <w:rFonts w:ascii="Times New Roman" w:hAnsi="Times New Roman" w:cs="Times New Roman"/>
        </w:rPr>
        <w:fldChar w:fldCharType="begin"/>
      </w:r>
      <w:r>
        <w:rPr>
          <w:rFonts w:ascii="Times New Roman" w:hAnsi="Times New Roman" w:cs="Times New Roman"/>
        </w:rPr>
        <w:instrText>SEQ Wykres \* ARABIC</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Udział bezrobotnych zarejestrowanych w liczbie ludności w wieku produkcyjnym w gminach Zielonego Zagłębia.</w:t>
      </w:r>
      <w:bookmarkEnd w:id="10"/>
    </w:p>
    <w:p w:rsidR="00DC75FA" w:rsidRDefault="00887D84">
      <w:pPr>
        <w:pStyle w:val="Legenda"/>
        <w:rPr>
          <w:rFonts w:ascii="Times New Roman" w:hAnsi="Times New Roman" w:cs="Times New Roman"/>
          <w:b/>
          <w:bCs/>
        </w:rPr>
      </w:pPr>
      <w:r>
        <w:rPr>
          <w:noProof/>
          <w:lang w:eastAsia="pl-PL"/>
        </w:rPr>
        <w:drawing>
          <wp:inline distT="0" distB="0" distL="0" distR="0">
            <wp:extent cx="5810250" cy="2319655"/>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cs="Times New Roman"/>
        </w:rPr>
        <w:t xml:space="preserve"> Źródło: Opracowanie własne na podstawie danych Urzędu Statystycznego</w:t>
      </w:r>
    </w:p>
    <w:p w:rsidR="00DC75FA" w:rsidRDefault="00DC75FA">
      <w:pPr>
        <w:pStyle w:val="Akapitzlist"/>
        <w:rPr>
          <w:rFonts w:ascii="Times New Roman" w:hAnsi="Times New Roman" w:cs="Times New Roman"/>
        </w:rPr>
      </w:pPr>
    </w:p>
    <w:tbl>
      <w:tblPr>
        <w:tblStyle w:val="PlainTable4"/>
        <w:tblW w:w="9067" w:type="dxa"/>
        <w:tblLook w:val="04A0" w:firstRow="1" w:lastRow="0" w:firstColumn="1" w:lastColumn="0" w:noHBand="0" w:noVBand="1"/>
      </w:tblPr>
      <w:tblGrid>
        <w:gridCol w:w="9067"/>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shd w:val="clear" w:color="auto" w:fill="auto"/>
          </w:tcPr>
          <w:p w:rsidR="00DC75FA" w:rsidRDefault="00887D84">
            <w:pPr>
              <w:pStyle w:val="Akapitzlist"/>
              <w:spacing w:after="0" w:line="240" w:lineRule="auto"/>
              <w:ind w:left="0"/>
              <w:jc w:val="center"/>
              <w:rPr>
                <w:rFonts w:ascii="Times New Roman" w:hAnsi="Times New Roman" w:cs="Times New Roman"/>
              </w:rPr>
            </w:pPr>
            <w:r>
              <w:rPr>
                <w:rFonts w:ascii="Times New Roman" w:hAnsi="Times New Roman" w:cs="Times New Roman"/>
              </w:rPr>
              <w:t>Zdolność instytucjonalna gmin do pozyskiwania środków zewnętrznych oraz współpracy w realizacji wspólnych projektów</w:t>
            </w:r>
          </w:p>
        </w:tc>
      </w:tr>
    </w:tbl>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 xml:space="preserve">Jak wynika z analizy projektów dofinansowanych z programów operacyjnych poziomu krajowego i regionalnego, gminy nie miały problemów z pozyskaniem dofinansowania. Najwięcej projektów pozyskano z Regionalnego Programu Operacyjnego Województwa Lubelskiego na lata 2014-2020 na odnawialne źródła energii, termomodernizację budynków użyteczności publicznej, ochronę środowiska, gospodarkę wodno-ściekową czy rewitalizację obszarów wiejskich poprzez inwestycje w infrastrukturę społeczną. W ramach krajowych programów operacyjnych zrealizowano projekt </w:t>
      </w:r>
      <w:r>
        <w:rPr>
          <w:rFonts w:ascii="Times New Roman" w:hAnsi="Times New Roman" w:cs="Times New Roman"/>
          <w:i/>
          <w:iCs/>
        </w:rPr>
        <w:t xml:space="preserve">Budowa kanalizacji </w:t>
      </w:r>
      <w:r>
        <w:rPr>
          <w:rFonts w:ascii="Times New Roman" w:hAnsi="Times New Roman" w:cs="Times New Roman"/>
          <w:i/>
          <w:iCs/>
        </w:rPr>
        <w:lastRenderedPageBreak/>
        <w:t>ścieków w aglomeracji Milejów wraz z poprawą efektywności energetycznej na obiekcie oczyszczalni ścieków poprzez zastosowanie energooszczędnych źródeł oświetlenia oraz urządzeń OZE do produkcji CWU</w:t>
      </w:r>
      <w:r>
        <w:rPr>
          <w:rFonts w:ascii="Times New Roman" w:hAnsi="Times New Roman" w:cs="Times New Roman"/>
        </w:rPr>
        <w:t xml:space="preserve"> (aglomeracja Milejów POIŚ 2014-2020).</w:t>
      </w:r>
    </w:p>
    <w:p w:rsidR="00DC75FA" w:rsidRDefault="00DC75FA">
      <w:pPr>
        <w:jc w:val="both"/>
        <w:rPr>
          <w:rFonts w:ascii="Times New Roman" w:hAnsi="Times New Roman" w:cs="Times New Roman"/>
        </w:rPr>
      </w:pPr>
    </w:p>
    <w:p w:rsidR="00DC75FA" w:rsidRDefault="00DC75FA">
      <w:pPr>
        <w:jc w:val="both"/>
        <w:rPr>
          <w:rFonts w:ascii="Times New Roman" w:hAnsi="Times New Roman" w:cs="Times New Roman"/>
        </w:rPr>
      </w:pPr>
    </w:p>
    <w:p w:rsidR="00DC75FA" w:rsidRDefault="00DC75FA">
      <w:pPr>
        <w:jc w:val="both"/>
        <w:rPr>
          <w:rFonts w:ascii="Times New Roman" w:hAnsi="Times New Roman" w:cs="Times New Roman"/>
        </w:rPr>
      </w:pPr>
    </w:p>
    <w:p w:rsidR="00DC75FA" w:rsidRDefault="00887D84">
      <w:pPr>
        <w:pStyle w:val="Legenda"/>
        <w:rPr>
          <w:rFonts w:ascii="Times New Roman" w:hAnsi="Times New Roman" w:cs="Times New Roman"/>
        </w:rPr>
      </w:pPr>
      <w:bookmarkStart w:id="11" w:name="_Toc75897204"/>
      <w:r>
        <w:rPr>
          <w:rFonts w:ascii="Times New Roman" w:hAnsi="Times New Roman" w:cs="Times New Roman"/>
        </w:rPr>
        <w:t xml:space="preserve">Wykres </w:t>
      </w:r>
      <w:r>
        <w:rPr>
          <w:rFonts w:ascii="Times New Roman" w:hAnsi="Times New Roman" w:cs="Times New Roman"/>
        </w:rPr>
        <w:fldChar w:fldCharType="begin"/>
      </w:r>
      <w:r>
        <w:rPr>
          <w:rFonts w:ascii="Times New Roman" w:hAnsi="Times New Roman" w:cs="Times New Roman"/>
        </w:rPr>
        <w:instrText>SEQ Wykres \* ARABIC</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Środki z Unii Europejskiej pozyskane przez samorządy gmin współpracujących w ramach obszaru Zielone Zagłębie</w:t>
      </w:r>
      <w:bookmarkEnd w:id="11"/>
    </w:p>
    <w:p w:rsidR="00DC75FA" w:rsidRDefault="00887D84">
      <w:pPr>
        <w:rPr>
          <w:rFonts w:ascii="Times New Roman" w:hAnsi="Times New Roman" w:cs="Times New Roman"/>
        </w:rPr>
      </w:pPr>
      <w:r>
        <w:rPr>
          <w:noProof/>
          <w:lang w:eastAsia="pl-PL"/>
        </w:rPr>
        <w:drawing>
          <wp:inline distT="0" distB="0" distL="0" distR="0">
            <wp:extent cx="5850255" cy="3119755"/>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75FA" w:rsidRDefault="00887D84">
      <w:pPr>
        <w:pStyle w:val="Legenda"/>
        <w:rPr>
          <w:rFonts w:ascii="Times New Roman" w:hAnsi="Times New Roman" w:cs="Times New Roman"/>
        </w:rPr>
      </w:pPr>
      <w:r>
        <w:rPr>
          <w:rFonts w:ascii="Times New Roman" w:hAnsi="Times New Roman" w:cs="Times New Roman"/>
        </w:rPr>
        <w:t xml:space="preserve">Źródło: Opracowanie własne na podstawie danych SIMIK, funduszeeuropejskie.gov.pl </w:t>
      </w: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887D84">
      <w:pPr>
        <w:pStyle w:val="Nagwek1"/>
        <w:numPr>
          <w:ilvl w:val="0"/>
          <w:numId w:val="1"/>
        </w:numPr>
        <w:rPr>
          <w:rFonts w:ascii="Times New Roman" w:hAnsi="Times New Roman" w:cs="Times New Roman"/>
        </w:rPr>
      </w:pPr>
      <w:bookmarkStart w:id="12" w:name="_Toc105754690"/>
      <w:r>
        <w:rPr>
          <w:rFonts w:ascii="Times New Roman" w:hAnsi="Times New Roman" w:cs="Times New Roman"/>
        </w:rPr>
        <w:t>Analiza SWOT</w:t>
      </w:r>
      <w:bookmarkEnd w:id="12"/>
      <w:r>
        <w:rPr>
          <w:rFonts w:ascii="Times New Roman" w:hAnsi="Times New Roman" w:cs="Times New Roman"/>
        </w:rPr>
        <w:t xml:space="preserve"> </w:t>
      </w:r>
    </w:p>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 xml:space="preserve">Jednym z narzędzi stosowanych do przeprowadzenia analizy strategicznej jest analiza SWOT – zestawienie silnych i słabych stron (odpowiednio: </w:t>
      </w:r>
      <w:proofErr w:type="spellStart"/>
      <w:r>
        <w:rPr>
          <w:rFonts w:ascii="Times New Roman" w:hAnsi="Times New Roman" w:cs="Times New Roman"/>
        </w:rPr>
        <w:t>strengths</w:t>
      </w:r>
      <w:proofErr w:type="spellEnd"/>
      <w:r>
        <w:rPr>
          <w:rFonts w:ascii="Times New Roman" w:hAnsi="Times New Roman" w:cs="Times New Roman"/>
        </w:rPr>
        <w:t xml:space="preserve"> oraz </w:t>
      </w:r>
      <w:proofErr w:type="spellStart"/>
      <w:r>
        <w:rPr>
          <w:rFonts w:ascii="Times New Roman" w:hAnsi="Times New Roman" w:cs="Times New Roman"/>
        </w:rPr>
        <w:t>weaknesses</w:t>
      </w:r>
      <w:proofErr w:type="spellEnd"/>
      <w:r>
        <w:rPr>
          <w:rFonts w:ascii="Times New Roman" w:hAnsi="Times New Roman" w:cs="Times New Roman"/>
        </w:rPr>
        <w:t>) oraz określenie szans i zagrożeń rozwojowych (</w:t>
      </w:r>
      <w:proofErr w:type="spellStart"/>
      <w:r>
        <w:rPr>
          <w:rFonts w:ascii="Times New Roman" w:hAnsi="Times New Roman" w:cs="Times New Roman"/>
        </w:rPr>
        <w:t>opportunities</w:t>
      </w:r>
      <w:proofErr w:type="spellEnd"/>
      <w:r>
        <w:rPr>
          <w:rFonts w:ascii="Times New Roman" w:hAnsi="Times New Roman" w:cs="Times New Roman"/>
        </w:rPr>
        <w:t xml:space="preserve"> oraz </w:t>
      </w:r>
      <w:proofErr w:type="spellStart"/>
      <w:r>
        <w:rPr>
          <w:rFonts w:ascii="Times New Roman" w:hAnsi="Times New Roman" w:cs="Times New Roman"/>
        </w:rPr>
        <w:t>threats</w:t>
      </w:r>
      <w:proofErr w:type="spellEnd"/>
      <w:r>
        <w:rPr>
          <w:rFonts w:ascii="Times New Roman" w:hAnsi="Times New Roman" w:cs="Times New Roman"/>
        </w:rPr>
        <w:t xml:space="preserve">). Metoda ta umożliwia zebranie oraz usystematyzowanie informacji o wewnętrznym potencjale obszaru Zielonego Zagłębia, jak również dostrzeganych barierach, zwracając jednocześnie uwagę na pojawiające się w otoczeniu szanse oraz zagrożenia mające wpływ na jego działalność oraz rozwój. </w:t>
      </w:r>
    </w:p>
    <w:tbl>
      <w:tblPr>
        <w:tblStyle w:val="GridTable5DarkAccent5"/>
        <w:tblW w:w="9062" w:type="dxa"/>
        <w:shd w:val="clear" w:color="auto" w:fill="D9E2F3"/>
        <w:tblLook w:val="04A0" w:firstRow="1" w:lastRow="0" w:firstColumn="1" w:lastColumn="0" w:noHBand="0" w:noVBand="1"/>
      </w:tblPr>
      <w:tblGrid>
        <w:gridCol w:w="4532"/>
        <w:gridCol w:w="4530"/>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C75FA" w:rsidRDefault="00887D84">
            <w:pPr>
              <w:spacing w:after="0" w:line="240" w:lineRule="auto"/>
              <w:jc w:val="center"/>
              <w:rPr>
                <w:rFonts w:ascii="Times New Roman" w:hAnsi="Times New Roman" w:cs="Times New Roman"/>
                <w:b w:val="0"/>
                <w:sz w:val="32"/>
                <w:szCs w:val="32"/>
              </w:rPr>
            </w:pPr>
            <w:r>
              <w:rPr>
                <w:rFonts w:ascii="Times New Roman" w:hAnsi="Times New Roman" w:cs="Times New Roman"/>
                <w:b w:val="0"/>
                <w:sz w:val="32"/>
                <w:szCs w:val="32"/>
              </w:rPr>
              <w:t>Silne strony</w:t>
            </w:r>
          </w:p>
        </w:tc>
        <w:tc>
          <w:tcPr>
            <w:tcW w:w="4530" w:type="dxa"/>
            <w:tcBorders>
              <w:bottom w:val="nil"/>
            </w:tcBorders>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32"/>
                <w:szCs w:val="32"/>
              </w:rPr>
            </w:pPr>
            <w:r>
              <w:rPr>
                <w:rFonts w:ascii="Times New Roman" w:hAnsi="Times New Roman" w:cs="Times New Roman"/>
                <w:b w:val="0"/>
                <w:sz w:val="32"/>
                <w:szCs w:val="32"/>
              </w:rPr>
              <w:t>Słabości</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right w:val="nil"/>
            </w:tcBorders>
          </w:tcPr>
          <w:p w:rsidR="00DC75FA" w:rsidRDefault="00887D84">
            <w:pPr>
              <w:spacing w:after="0" w:line="240" w:lineRule="auto"/>
              <w:jc w:val="both"/>
              <w:rPr>
                <w:rStyle w:val="fontstyle01"/>
                <w:rFonts w:ascii="Times New Roman" w:hAnsi="Times New Roman" w:cs="Times New Roman"/>
                <w:bCs w:val="0"/>
              </w:rPr>
            </w:pPr>
            <w:r>
              <w:rPr>
                <w:rStyle w:val="fontstyle21"/>
                <w:rFonts w:ascii="Times New Roman" w:hAnsi="Times New Roman" w:cs="Times New Roman"/>
                <w:color w:val="FFFFFF" w:themeColor="background1"/>
              </w:rPr>
              <w:t>• </w:t>
            </w:r>
            <w:r>
              <w:rPr>
                <w:rStyle w:val="fontstyle01"/>
                <w:rFonts w:ascii="Times New Roman" w:hAnsi="Times New Roman" w:cs="Times New Roman"/>
                <w:color w:val="FFFFFF" w:themeColor="background1"/>
              </w:rPr>
              <w:t>Wzrasta liczba mieszkańców</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Liczba osób w wieku przedprodukcyjnym</w:t>
            </w:r>
            <w:r>
              <w:rPr>
                <w:rFonts w:ascii="Times New Roman" w:hAnsi="Times New Roman" w:cs="Times New Roman"/>
              </w:rPr>
              <w:br/>
            </w:r>
            <w:r>
              <w:rPr>
                <w:rStyle w:val="fontstyle01"/>
                <w:rFonts w:ascii="Times New Roman" w:hAnsi="Times New Roman" w:cs="Times New Roman"/>
                <w:color w:val="FFFFFF" w:themeColor="background1"/>
              </w:rPr>
              <w:t>utrzymuje się, odnotowano dodatni przyrost</w:t>
            </w:r>
            <w:r>
              <w:rPr>
                <w:rFonts w:ascii="Times New Roman" w:hAnsi="Times New Roman" w:cs="Times New Roman"/>
              </w:rPr>
              <w:br/>
            </w:r>
            <w:r>
              <w:rPr>
                <w:rStyle w:val="fontstyle01"/>
                <w:rFonts w:ascii="Times New Roman" w:hAnsi="Times New Roman" w:cs="Times New Roman"/>
                <w:color w:val="FFFFFF" w:themeColor="background1"/>
              </w:rPr>
              <w:t>naturalny</w:t>
            </w:r>
          </w:p>
          <w:p w:rsidR="00DC75FA" w:rsidRDefault="00887D84">
            <w:pPr>
              <w:spacing w:after="0" w:line="240" w:lineRule="auto"/>
              <w:jc w:val="both"/>
              <w:rPr>
                <w:rStyle w:val="fontstyle01"/>
                <w:rFonts w:ascii="Times New Roman" w:hAnsi="Times New Roman" w:cs="Times New Roman"/>
                <w:bCs w:val="0"/>
              </w:rPr>
            </w:pP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Dobra dostępność do infrastruktury społecznej</w:t>
            </w:r>
            <w:r>
              <w:rPr>
                <w:rFonts w:ascii="Times New Roman" w:hAnsi="Times New Roman" w:cs="Times New Roman"/>
              </w:rPr>
              <w:br/>
            </w:r>
            <w:r>
              <w:rPr>
                <w:rStyle w:val="fontstyle01"/>
                <w:rFonts w:ascii="Times New Roman" w:hAnsi="Times New Roman" w:cs="Times New Roman"/>
                <w:color w:val="FFFFFF" w:themeColor="background1"/>
              </w:rPr>
              <w:t>(oświata, ochrona zdrowia, kultura)</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Duży odsetek aktywnych organizacji</w:t>
            </w:r>
            <w:r>
              <w:rPr>
                <w:rFonts w:ascii="Times New Roman" w:hAnsi="Times New Roman" w:cs="Times New Roman"/>
              </w:rPr>
              <w:br/>
            </w:r>
            <w:r>
              <w:rPr>
                <w:rStyle w:val="fontstyle01"/>
                <w:rFonts w:ascii="Times New Roman" w:hAnsi="Times New Roman" w:cs="Times New Roman"/>
                <w:color w:val="FFFFFF" w:themeColor="background1"/>
              </w:rPr>
              <w:t>pozarządowych, fundacji, kół gospodyń</w:t>
            </w:r>
            <w:r>
              <w:rPr>
                <w:rFonts w:ascii="Times New Roman" w:hAnsi="Times New Roman" w:cs="Times New Roman"/>
              </w:rPr>
              <w:br/>
            </w:r>
            <w:r>
              <w:rPr>
                <w:rStyle w:val="fontstyle01"/>
                <w:rFonts w:ascii="Times New Roman" w:hAnsi="Times New Roman" w:cs="Times New Roman"/>
                <w:color w:val="FFFFFF" w:themeColor="background1"/>
              </w:rPr>
              <w:t>wiejskich</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Wzrost liczby aktywnych przedsiębiorstw</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Wysoki odsetek pracujących mężczyzn –</w:t>
            </w:r>
            <w:r>
              <w:rPr>
                <w:rFonts w:ascii="Times New Roman" w:hAnsi="Times New Roman" w:cs="Times New Roman"/>
              </w:rPr>
              <w:br/>
            </w:r>
            <w:r>
              <w:rPr>
                <w:rStyle w:val="fontstyle01"/>
                <w:rFonts w:ascii="Times New Roman" w:hAnsi="Times New Roman" w:cs="Times New Roman"/>
                <w:color w:val="FFFFFF" w:themeColor="background1"/>
              </w:rPr>
              <w:t>kopalnia Bogdanka i przedsiębiorstwa z nią</w:t>
            </w:r>
            <w:r>
              <w:rPr>
                <w:rFonts w:ascii="Times New Roman" w:hAnsi="Times New Roman" w:cs="Times New Roman"/>
              </w:rPr>
              <w:br/>
            </w:r>
            <w:r>
              <w:rPr>
                <w:rStyle w:val="fontstyle01"/>
                <w:rFonts w:ascii="Times New Roman" w:hAnsi="Times New Roman" w:cs="Times New Roman"/>
                <w:color w:val="FFFFFF" w:themeColor="background1"/>
              </w:rPr>
              <w:t>współpracujące jako najwięksi lokalni</w:t>
            </w:r>
            <w:r>
              <w:rPr>
                <w:rFonts w:ascii="Times New Roman" w:hAnsi="Times New Roman" w:cs="Times New Roman"/>
              </w:rPr>
              <w:br/>
            </w:r>
            <w:r>
              <w:rPr>
                <w:rStyle w:val="fontstyle01"/>
                <w:rFonts w:ascii="Times New Roman" w:hAnsi="Times New Roman" w:cs="Times New Roman"/>
                <w:color w:val="FFFFFF" w:themeColor="background1"/>
              </w:rPr>
              <w:t>pracodawcy</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Prawie 70% powierzchni stanowią użytki rolne</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Bogata oferta turystyczna (baza noclegowa,</w:t>
            </w:r>
            <w:r>
              <w:rPr>
                <w:rFonts w:ascii="Times New Roman" w:hAnsi="Times New Roman" w:cs="Times New Roman"/>
              </w:rPr>
              <w:br/>
            </w:r>
            <w:r>
              <w:rPr>
                <w:rStyle w:val="fontstyle01"/>
                <w:rFonts w:ascii="Times New Roman" w:hAnsi="Times New Roman" w:cs="Times New Roman"/>
                <w:color w:val="FFFFFF" w:themeColor="background1"/>
              </w:rPr>
              <w:t>obiekty zabytkowe i zasoby kulturowe, zasoby</w:t>
            </w:r>
            <w:r>
              <w:rPr>
                <w:rFonts w:ascii="Times New Roman" w:hAnsi="Times New Roman" w:cs="Times New Roman"/>
              </w:rPr>
              <w:br/>
            </w:r>
            <w:r>
              <w:rPr>
                <w:rStyle w:val="fontstyle01"/>
                <w:rFonts w:ascii="Times New Roman" w:hAnsi="Times New Roman" w:cs="Times New Roman"/>
                <w:color w:val="FFFFFF" w:themeColor="background1"/>
              </w:rPr>
              <w:t>przyrodnicze)</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Liczne jeziora i cieki wodne (prawie 3%</w:t>
            </w:r>
            <w:r>
              <w:rPr>
                <w:rFonts w:ascii="Times New Roman" w:hAnsi="Times New Roman" w:cs="Times New Roman"/>
              </w:rPr>
              <w:br/>
            </w:r>
            <w:r>
              <w:rPr>
                <w:rStyle w:val="fontstyle01"/>
                <w:rFonts w:ascii="Times New Roman" w:hAnsi="Times New Roman" w:cs="Times New Roman"/>
                <w:color w:val="FFFFFF" w:themeColor="background1"/>
              </w:rPr>
              <w:t>powierzchni)</w:t>
            </w:r>
            <w:r>
              <w:rPr>
                <w:rFonts w:ascii="Times New Roman" w:hAnsi="Times New Roman" w:cs="Times New Roman"/>
              </w:rPr>
              <w:br/>
            </w:r>
            <w:r>
              <w:rPr>
                <w:rStyle w:val="fontstyle21"/>
                <w:rFonts w:ascii="Times New Roman" w:hAnsi="Times New Roman" w:cs="Times New Roman"/>
                <w:color w:val="FFFFFF" w:themeColor="background1"/>
              </w:rPr>
              <w:t>• </w:t>
            </w:r>
            <w:r>
              <w:rPr>
                <w:rStyle w:val="fontstyle01"/>
                <w:rFonts w:ascii="Times New Roman" w:hAnsi="Times New Roman" w:cs="Times New Roman"/>
                <w:color w:val="FFFFFF" w:themeColor="background1"/>
              </w:rPr>
              <w:t>Liczne inwestycje w OZE</w:t>
            </w:r>
          </w:p>
          <w:p w:rsidR="00DC75FA" w:rsidRDefault="00887D84">
            <w:pPr>
              <w:spacing w:after="0" w:line="240" w:lineRule="auto"/>
              <w:jc w:val="both"/>
              <w:rPr>
                <w:rFonts w:ascii="Times New Roman" w:hAnsi="Times New Roman" w:cs="Times New Roman"/>
                <w:b w:val="0"/>
              </w:rPr>
            </w:pP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20% powierzchni stanowią lasy</w:t>
            </w:r>
          </w:p>
          <w:p w:rsidR="00DC75FA" w:rsidRDefault="00DC75FA">
            <w:pPr>
              <w:spacing w:after="0" w:line="240" w:lineRule="auto"/>
              <w:jc w:val="both"/>
              <w:rPr>
                <w:rFonts w:ascii="Times New Roman" w:hAnsi="Times New Roman" w:cs="Times New Roman"/>
                <w:b w:val="0"/>
              </w:rPr>
            </w:pPr>
          </w:p>
        </w:tc>
        <w:tc>
          <w:tcPr>
            <w:tcW w:w="4530" w:type="dxa"/>
          </w:tcPr>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Wzrasta liczba osób w wieku poprodukcyjnym – społeczeństwo starzeje się</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Wzrost </w:t>
            </w:r>
            <w:proofErr w:type="spellStart"/>
            <w:r>
              <w:rPr>
                <w:rFonts w:ascii="Times New Roman" w:hAnsi="Times New Roman" w:cs="Times New Roman"/>
              </w:rPr>
              <w:t>zachorowań</w:t>
            </w:r>
            <w:proofErr w:type="spellEnd"/>
            <w:r>
              <w:rPr>
                <w:rFonts w:ascii="Times New Roman" w:hAnsi="Times New Roman" w:cs="Times New Roman"/>
              </w:rPr>
              <w:t xml:space="preserve"> na choroby cywilizacyjne</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Dostępność substancji i urządzeń</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uzależniających</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Dziedziczenie ubóstwa i dysfunkcji społecznych</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Niedostateczny dostęp do usług wspierających</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seniorów, osoby niepełnosprawne, osoby</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zagrożone wykluczeniem</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Niedostateczny dostęp do infrastruktury sportu,</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rekreacji, wypoczynku</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W strukturze przedsiębiorstw dominują</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samozatrudnieni (niska konkurencyjność na</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rynku regionalnym)</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Niska koncentracja na gałęziach rozwojowych,</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strategicznych dla obszaru, innowacyjnych</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•Negatywny wpływ wydobycia węgla na rzeźbę terenu (hałdy, depresje, obszary zalewowe)</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•Niski poziom skanalizowania gospodarstw</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domowych, nieszczelność szamb, duży odsetek</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odpadów zmieszanych w odpadach ogółem</w:t>
            </w:r>
          </w:p>
        </w:tc>
      </w:tr>
      <w:tr w:rsidR="00DC75FA" w:rsidTr="00DC75FA">
        <w:tc>
          <w:tcPr>
            <w:cnfStyle w:val="001000000000" w:firstRow="0" w:lastRow="0" w:firstColumn="1" w:lastColumn="0" w:oddVBand="0" w:evenVBand="0" w:oddHBand="0" w:evenHBand="0" w:firstRowFirstColumn="0" w:firstRowLastColumn="0" w:lastRowFirstColumn="0" w:lastRowLastColumn="0"/>
            <w:tcW w:w="4531" w:type="dxa"/>
            <w:tcBorders>
              <w:right w:val="nil"/>
            </w:tcBorders>
            <w:shd w:val="clear" w:color="auto" w:fill="2E74B5" w:themeFill="accent1" w:themeFillShade="BF"/>
          </w:tcPr>
          <w:p w:rsidR="00DC75FA" w:rsidRDefault="00887D8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Szanse rozwojowe</w:t>
            </w:r>
          </w:p>
        </w:tc>
        <w:tc>
          <w:tcPr>
            <w:tcW w:w="4530" w:type="dxa"/>
            <w:shd w:val="clear" w:color="auto" w:fill="2E74B5" w:themeFill="accent1" w:themeFillShade="BF"/>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Zagrożenia i ryzyka</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right w:val="nil"/>
            </w:tcBorders>
          </w:tcPr>
          <w:p w:rsidR="00DC75FA" w:rsidRDefault="00887D84">
            <w:pPr>
              <w:spacing w:after="0" w:line="240" w:lineRule="auto"/>
              <w:jc w:val="both"/>
              <w:rPr>
                <w:rStyle w:val="fontstyle01"/>
                <w:rFonts w:ascii="Times New Roman" w:hAnsi="Times New Roman" w:cs="Times New Roman"/>
                <w:bCs w:val="0"/>
              </w:rPr>
            </w:pP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Aktywizacja ruchowa, społeczna, kulturalna osób zagrożonych wykluczeniem, w tym seniorów i osoby niepełnosprawne,</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Tworzenie warunków rozwoju systemu</w:t>
            </w:r>
            <w:r>
              <w:rPr>
                <w:rFonts w:ascii="Times New Roman" w:hAnsi="Times New Roman" w:cs="Times New Roman"/>
              </w:rPr>
              <w:br/>
            </w:r>
            <w:r>
              <w:rPr>
                <w:rStyle w:val="fontstyle01"/>
                <w:rFonts w:ascii="Times New Roman" w:hAnsi="Times New Roman" w:cs="Times New Roman"/>
                <w:color w:val="FFFFFF" w:themeColor="background1"/>
              </w:rPr>
              <w:t>samopomocy i wsparcia</w:t>
            </w:r>
          </w:p>
          <w:p w:rsidR="00DC75FA" w:rsidRDefault="00887D84">
            <w:pPr>
              <w:spacing w:after="0" w:line="240" w:lineRule="auto"/>
              <w:jc w:val="both"/>
              <w:rPr>
                <w:rStyle w:val="fontstyle01"/>
                <w:rFonts w:ascii="Times New Roman" w:hAnsi="Times New Roman" w:cs="Times New Roman"/>
                <w:bCs w:val="0"/>
              </w:rPr>
            </w:pP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 xml:space="preserve">Wykorzystanie </w:t>
            </w:r>
            <w:proofErr w:type="spellStart"/>
            <w:r>
              <w:rPr>
                <w:rStyle w:val="fontstyle01"/>
                <w:rFonts w:ascii="Times New Roman" w:hAnsi="Times New Roman" w:cs="Times New Roman"/>
                <w:color w:val="FFFFFF" w:themeColor="background1"/>
              </w:rPr>
              <w:t>pogórniczych</w:t>
            </w:r>
            <w:proofErr w:type="spellEnd"/>
            <w:r>
              <w:rPr>
                <w:rStyle w:val="fontstyle01"/>
                <w:rFonts w:ascii="Times New Roman" w:hAnsi="Times New Roman" w:cs="Times New Roman"/>
                <w:color w:val="FFFFFF" w:themeColor="background1"/>
              </w:rPr>
              <w:t xml:space="preserve"> zmian powierzchni na tereny rekreacyjne (zbiorniki </w:t>
            </w:r>
            <w:r>
              <w:rPr>
                <w:rStyle w:val="fontstyle01"/>
                <w:rFonts w:ascii="Times New Roman" w:hAnsi="Times New Roman" w:cs="Times New Roman"/>
                <w:color w:val="FFFFFF" w:themeColor="background1"/>
              </w:rPr>
              <w:lastRenderedPageBreak/>
              <w:t>wodne, wyciągi narciarskie)</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Zacieśnienie współpracy gmin z trzecim sektorem, rozwój systemu dotacji na zadania gminne realizowane przez organizacje pozarządowe na rzecz lokalnego rozwoju i społeczeństwa obywatelskiego</w:t>
            </w:r>
          </w:p>
          <w:p w:rsidR="00DC75FA" w:rsidRDefault="00887D84">
            <w:pPr>
              <w:spacing w:after="0" w:line="240" w:lineRule="auto"/>
              <w:jc w:val="both"/>
              <w:rPr>
                <w:rStyle w:val="fontstyle01"/>
                <w:rFonts w:ascii="Times New Roman" w:hAnsi="Times New Roman" w:cs="Times New Roman"/>
                <w:bCs w:val="0"/>
              </w:rPr>
            </w:pP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Rozwój przedsiębiorczości związanej z turystyką i obsługą ruchu turystycznego</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Sieciowanie przedsiębiorstw w klastry i siatki</w:t>
            </w:r>
            <w:r>
              <w:rPr>
                <w:rFonts w:ascii="Times New Roman" w:hAnsi="Times New Roman" w:cs="Times New Roman"/>
              </w:rPr>
              <w:br/>
            </w:r>
            <w:r>
              <w:rPr>
                <w:rStyle w:val="fontstyle01"/>
                <w:rFonts w:ascii="Times New Roman" w:hAnsi="Times New Roman" w:cs="Times New Roman"/>
                <w:color w:val="FFFFFF" w:themeColor="background1"/>
              </w:rPr>
              <w:t>powiązań (powiązanie dostawców, odbiorców,</w:t>
            </w:r>
            <w:r>
              <w:rPr>
                <w:rFonts w:ascii="Times New Roman" w:hAnsi="Times New Roman" w:cs="Times New Roman"/>
              </w:rPr>
              <w:br/>
            </w:r>
            <w:r>
              <w:rPr>
                <w:rStyle w:val="fontstyle01"/>
                <w:rFonts w:ascii="Times New Roman" w:hAnsi="Times New Roman" w:cs="Times New Roman"/>
                <w:color w:val="FFFFFF" w:themeColor="background1"/>
              </w:rPr>
              <w:t>przetwórców)</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Rozwój systemu edukacji w dziedzinach</w:t>
            </w:r>
            <w:r>
              <w:rPr>
                <w:rFonts w:ascii="Times New Roman" w:hAnsi="Times New Roman" w:cs="Times New Roman"/>
              </w:rPr>
              <w:br/>
            </w:r>
            <w:r>
              <w:rPr>
                <w:rStyle w:val="fontstyle01"/>
                <w:rFonts w:ascii="Times New Roman" w:hAnsi="Times New Roman" w:cs="Times New Roman"/>
                <w:color w:val="FFFFFF" w:themeColor="background1"/>
              </w:rPr>
              <w:t>strategicznych dla obszaru, w tym system praktyk, staży uczniowskich</w:t>
            </w:r>
          </w:p>
          <w:p w:rsidR="00DC75FA" w:rsidRDefault="00887D84">
            <w:pPr>
              <w:spacing w:after="0" w:line="240" w:lineRule="auto"/>
              <w:jc w:val="both"/>
              <w:rPr>
                <w:rFonts w:ascii="Times New Roman" w:hAnsi="Times New Roman" w:cs="Times New Roman"/>
                <w:b w:val="0"/>
              </w:rPr>
            </w:pP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Dalsze inwestycje w OZE, selektywną zbiórkę</w:t>
            </w:r>
            <w:r>
              <w:rPr>
                <w:rFonts w:ascii="Times New Roman" w:hAnsi="Times New Roman" w:cs="Times New Roman"/>
              </w:rPr>
              <w:br/>
            </w:r>
            <w:r>
              <w:rPr>
                <w:rStyle w:val="fontstyle01"/>
                <w:rFonts w:ascii="Times New Roman" w:hAnsi="Times New Roman" w:cs="Times New Roman"/>
                <w:color w:val="FFFFFF" w:themeColor="background1"/>
              </w:rPr>
              <w:t>odpadów, recykling oraz przeciwdziałanie niskiej</w:t>
            </w:r>
            <w:r>
              <w:rPr>
                <w:rFonts w:ascii="Times New Roman" w:hAnsi="Times New Roman" w:cs="Times New Roman"/>
              </w:rPr>
              <w:br/>
            </w:r>
            <w:r>
              <w:rPr>
                <w:rStyle w:val="fontstyle01"/>
                <w:rFonts w:ascii="Times New Roman" w:hAnsi="Times New Roman" w:cs="Times New Roman"/>
                <w:color w:val="FFFFFF" w:themeColor="background1"/>
              </w:rPr>
              <w:t>emisji</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Promocja marki Zielone Zagłębie - efekt synergii działań gmin współpracujących</w:t>
            </w:r>
            <w:r>
              <w:rPr>
                <w:rFonts w:ascii="Times New Roman" w:hAnsi="Times New Roman" w:cs="Times New Roman"/>
              </w:rPr>
              <w:br/>
            </w:r>
            <w:r>
              <w:rPr>
                <w:rStyle w:val="fontstyle21"/>
                <w:rFonts w:ascii="Times New Roman" w:hAnsi="Times New Roman" w:cs="Times New Roman"/>
                <w:color w:val="FFFFFF" w:themeColor="background1"/>
              </w:rPr>
              <w:t xml:space="preserve">• </w:t>
            </w:r>
            <w:r>
              <w:rPr>
                <w:rStyle w:val="fontstyle01"/>
                <w:rFonts w:ascii="Times New Roman" w:hAnsi="Times New Roman" w:cs="Times New Roman"/>
                <w:color w:val="FFFFFF" w:themeColor="background1"/>
              </w:rPr>
              <w:t>Wykorzystanie szans dotacji z Funduszu</w:t>
            </w:r>
            <w:r>
              <w:rPr>
                <w:rFonts w:ascii="Times New Roman" w:hAnsi="Times New Roman" w:cs="Times New Roman"/>
              </w:rPr>
              <w:br/>
            </w:r>
            <w:r>
              <w:rPr>
                <w:rStyle w:val="fontstyle01"/>
                <w:rFonts w:ascii="Times New Roman" w:hAnsi="Times New Roman" w:cs="Times New Roman"/>
                <w:color w:val="FFFFFF" w:themeColor="background1"/>
              </w:rPr>
              <w:t>Sprawiedliwej Transformacji oraz 5 Celu Polityki Funduszy Unijnych na współpracę ponadlokalną</w:t>
            </w:r>
          </w:p>
          <w:p w:rsidR="00DC75FA" w:rsidRDefault="00DC75FA">
            <w:pPr>
              <w:spacing w:after="0" w:line="240" w:lineRule="auto"/>
              <w:jc w:val="both"/>
              <w:rPr>
                <w:rFonts w:ascii="Times New Roman" w:hAnsi="Times New Roman" w:cs="Times New Roman"/>
                <w:b w:val="0"/>
              </w:rPr>
            </w:pPr>
          </w:p>
        </w:tc>
        <w:tc>
          <w:tcPr>
            <w:tcW w:w="4530" w:type="dxa"/>
          </w:tcPr>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Style w:val="fontstyle01"/>
                <w:rFonts w:ascii="Times New Roman" w:hAnsi="Times New Roman" w:cs="Times New Roman"/>
              </w:rPr>
            </w:pPr>
            <w:r>
              <w:rPr>
                <w:rStyle w:val="fontstyle21"/>
                <w:rFonts w:ascii="Times New Roman" w:hAnsi="Times New Roman" w:cs="Times New Roman"/>
              </w:rPr>
              <w:lastRenderedPageBreak/>
              <w:t xml:space="preserve">• </w:t>
            </w:r>
            <w:r>
              <w:rPr>
                <w:rStyle w:val="fontstyle01"/>
                <w:rFonts w:ascii="Times New Roman" w:hAnsi="Times New Roman" w:cs="Times New Roman"/>
              </w:rPr>
              <w:t>Przewaga konkurencji nad współpracą władz</w:t>
            </w:r>
            <w:r>
              <w:rPr>
                <w:rFonts w:ascii="Times New Roman" w:hAnsi="Times New Roman" w:cs="Times New Roman"/>
                <w:color w:val="000000"/>
              </w:rPr>
              <w:br/>
            </w:r>
            <w:r>
              <w:rPr>
                <w:rStyle w:val="fontstyle01"/>
                <w:rFonts w:ascii="Times New Roman" w:hAnsi="Times New Roman" w:cs="Times New Roman"/>
              </w:rPr>
              <w:t>gmin wchodzących w skład porozumienia</w:t>
            </w:r>
            <w:r>
              <w:rPr>
                <w:rFonts w:ascii="Times New Roman" w:hAnsi="Times New Roman" w:cs="Times New Roman"/>
                <w:color w:val="000000"/>
              </w:rPr>
              <w:br/>
            </w:r>
            <w:r>
              <w:rPr>
                <w:rStyle w:val="fontstyle01"/>
                <w:rFonts w:ascii="Times New Roman" w:hAnsi="Times New Roman" w:cs="Times New Roman"/>
              </w:rPr>
              <w:t>ponadlokalnego</w:t>
            </w:r>
            <w:r>
              <w:rPr>
                <w:rFonts w:ascii="Times New Roman" w:hAnsi="Times New Roman" w:cs="Times New Roman"/>
                <w:color w:val="000000"/>
              </w:rPr>
              <w:br/>
            </w:r>
            <w:r>
              <w:rPr>
                <w:rStyle w:val="fontstyle21"/>
                <w:rFonts w:ascii="Times New Roman" w:hAnsi="Times New Roman" w:cs="Times New Roman"/>
              </w:rPr>
              <w:t xml:space="preserve">• </w:t>
            </w:r>
            <w:r>
              <w:rPr>
                <w:rStyle w:val="fontstyle01"/>
                <w:rFonts w:ascii="Times New Roman" w:hAnsi="Times New Roman" w:cs="Times New Roman"/>
              </w:rPr>
              <w:t>Nierównomierne wsparcie wszystkich grup</w:t>
            </w:r>
            <w:r>
              <w:rPr>
                <w:rFonts w:ascii="Times New Roman" w:hAnsi="Times New Roman" w:cs="Times New Roman"/>
                <w:color w:val="000000"/>
              </w:rPr>
              <w:br/>
            </w:r>
            <w:r>
              <w:rPr>
                <w:rStyle w:val="fontstyle01"/>
                <w:rFonts w:ascii="Times New Roman" w:hAnsi="Times New Roman" w:cs="Times New Roman"/>
              </w:rPr>
              <w:t>społecznych – zachwianie wsparcia pomiędzy</w:t>
            </w:r>
            <w:r>
              <w:rPr>
                <w:rFonts w:ascii="Times New Roman" w:hAnsi="Times New Roman" w:cs="Times New Roman"/>
                <w:color w:val="000000"/>
              </w:rPr>
              <w:br/>
            </w:r>
            <w:r>
              <w:rPr>
                <w:rStyle w:val="fontstyle01"/>
                <w:rFonts w:ascii="Times New Roman" w:hAnsi="Times New Roman" w:cs="Times New Roman"/>
              </w:rPr>
              <w:t>młodzieżą a seniorami</w:t>
            </w:r>
          </w:p>
          <w:p w:rsidR="00DC75FA" w:rsidRDefault="00887D8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Style w:val="fontstyle21"/>
                <w:rFonts w:ascii="Times New Roman" w:hAnsi="Times New Roman" w:cs="Times New Roman"/>
              </w:rPr>
              <w:t xml:space="preserve">• </w:t>
            </w:r>
            <w:r>
              <w:rPr>
                <w:rStyle w:val="fontstyle01"/>
                <w:rFonts w:ascii="Times New Roman" w:hAnsi="Times New Roman" w:cs="Times New Roman"/>
              </w:rPr>
              <w:t>Pogłębiające się ubóstwo osób wykluczonych</w:t>
            </w:r>
            <w:r>
              <w:rPr>
                <w:rFonts w:ascii="Times New Roman" w:hAnsi="Times New Roman" w:cs="Times New Roman"/>
                <w:color w:val="000000"/>
              </w:rPr>
              <w:br/>
            </w:r>
            <w:r>
              <w:rPr>
                <w:rStyle w:val="fontstyle21"/>
                <w:rFonts w:ascii="Times New Roman" w:hAnsi="Times New Roman" w:cs="Times New Roman"/>
              </w:rPr>
              <w:lastRenderedPageBreak/>
              <w:t xml:space="preserve">• </w:t>
            </w:r>
            <w:r>
              <w:rPr>
                <w:rStyle w:val="fontstyle01"/>
                <w:rFonts w:ascii="Times New Roman" w:hAnsi="Times New Roman" w:cs="Times New Roman"/>
              </w:rPr>
              <w:t>Niewykorzystanie potencjałów rozwojowych –</w:t>
            </w:r>
            <w:r>
              <w:rPr>
                <w:rFonts w:ascii="Times New Roman" w:hAnsi="Times New Roman" w:cs="Times New Roman"/>
                <w:color w:val="000000"/>
              </w:rPr>
              <w:br/>
            </w:r>
            <w:r>
              <w:rPr>
                <w:rStyle w:val="fontstyle01"/>
                <w:rFonts w:ascii="Times New Roman" w:hAnsi="Times New Roman" w:cs="Times New Roman"/>
              </w:rPr>
              <w:t>zasobów przyrodniczych, społecznych,</w:t>
            </w:r>
            <w:r>
              <w:rPr>
                <w:rFonts w:ascii="Times New Roman" w:hAnsi="Times New Roman" w:cs="Times New Roman"/>
                <w:color w:val="000000"/>
              </w:rPr>
              <w:br/>
            </w:r>
            <w:r>
              <w:rPr>
                <w:rStyle w:val="fontstyle01"/>
                <w:rFonts w:ascii="Times New Roman" w:hAnsi="Times New Roman" w:cs="Times New Roman"/>
              </w:rPr>
              <w:t>kulturowych</w:t>
            </w:r>
            <w:r>
              <w:rPr>
                <w:rFonts w:ascii="Times New Roman" w:hAnsi="Times New Roman" w:cs="Times New Roman"/>
                <w:color w:val="000000"/>
              </w:rPr>
              <w:br/>
            </w:r>
            <w:r>
              <w:rPr>
                <w:rStyle w:val="fontstyle21"/>
                <w:rFonts w:ascii="Times New Roman" w:hAnsi="Times New Roman" w:cs="Times New Roman"/>
              </w:rPr>
              <w:t xml:space="preserve">• </w:t>
            </w:r>
            <w:r>
              <w:rPr>
                <w:rStyle w:val="fontstyle01"/>
                <w:rFonts w:ascii="Times New Roman" w:hAnsi="Times New Roman" w:cs="Times New Roman"/>
              </w:rPr>
              <w:t>Brak specjalizacji rozwojowej obniży</w:t>
            </w:r>
            <w:r>
              <w:rPr>
                <w:rFonts w:ascii="Times New Roman" w:hAnsi="Times New Roman" w:cs="Times New Roman"/>
                <w:color w:val="000000"/>
              </w:rPr>
              <w:br/>
            </w:r>
            <w:r>
              <w:rPr>
                <w:rStyle w:val="fontstyle01"/>
                <w:rFonts w:ascii="Times New Roman" w:hAnsi="Times New Roman" w:cs="Times New Roman"/>
              </w:rPr>
              <w:t>konkurencyjność obszaru jako miejsca do życia,</w:t>
            </w:r>
            <w:r>
              <w:rPr>
                <w:rFonts w:ascii="Times New Roman" w:hAnsi="Times New Roman" w:cs="Times New Roman"/>
                <w:color w:val="000000"/>
              </w:rPr>
              <w:br/>
            </w:r>
            <w:r>
              <w:rPr>
                <w:rStyle w:val="fontstyle01"/>
                <w:rFonts w:ascii="Times New Roman" w:hAnsi="Times New Roman" w:cs="Times New Roman"/>
              </w:rPr>
              <w:t>pracy, odpoczynku, co wpłynie na stagnację</w:t>
            </w:r>
            <w:r>
              <w:rPr>
                <w:rFonts w:ascii="Times New Roman" w:hAnsi="Times New Roman" w:cs="Times New Roman"/>
                <w:color w:val="000000"/>
              </w:rPr>
              <w:br/>
            </w:r>
            <w:r>
              <w:rPr>
                <w:rStyle w:val="fontstyle01"/>
                <w:rFonts w:ascii="Times New Roman" w:hAnsi="Times New Roman" w:cs="Times New Roman"/>
              </w:rPr>
              <w:t>rozwoju oraz spadek dochodów własnych</w:t>
            </w:r>
            <w:r>
              <w:rPr>
                <w:rFonts w:ascii="Times New Roman" w:hAnsi="Times New Roman" w:cs="Times New Roman"/>
                <w:color w:val="000000"/>
              </w:rPr>
              <w:br/>
            </w:r>
            <w:r>
              <w:rPr>
                <w:rStyle w:val="fontstyle01"/>
                <w:rFonts w:ascii="Times New Roman" w:hAnsi="Times New Roman" w:cs="Times New Roman"/>
              </w:rPr>
              <w:t>samorządów oraz wzrost kosztów na pomoc</w:t>
            </w:r>
            <w:r>
              <w:rPr>
                <w:rFonts w:ascii="Times New Roman" w:hAnsi="Times New Roman" w:cs="Times New Roman"/>
                <w:color w:val="000000"/>
              </w:rPr>
              <w:br/>
            </w:r>
            <w:r>
              <w:rPr>
                <w:rStyle w:val="fontstyle01"/>
                <w:rFonts w:ascii="Times New Roman" w:hAnsi="Times New Roman" w:cs="Times New Roman"/>
              </w:rPr>
              <w:t>społeczną</w:t>
            </w:r>
            <w:r>
              <w:rPr>
                <w:rFonts w:ascii="Times New Roman" w:hAnsi="Times New Roman" w:cs="Times New Roman"/>
                <w:color w:val="000000"/>
              </w:rPr>
              <w:br/>
            </w:r>
            <w:r>
              <w:rPr>
                <w:rStyle w:val="fontstyle21"/>
                <w:rFonts w:ascii="Times New Roman" w:hAnsi="Times New Roman" w:cs="Times New Roman"/>
              </w:rPr>
              <w:t xml:space="preserve">• </w:t>
            </w:r>
            <w:r>
              <w:rPr>
                <w:rStyle w:val="fontstyle01"/>
                <w:rFonts w:ascii="Times New Roman" w:hAnsi="Times New Roman" w:cs="Times New Roman"/>
              </w:rPr>
              <w:t>Deficyty kadr związane z niedostosowaniem</w:t>
            </w:r>
            <w:r>
              <w:rPr>
                <w:rFonts w:ascii="Times New Roman" w:hAnsi="Times New Roman" w:cs="Times New Roman"/>
                <w:color w:val="000000"/>
              </w:rPr>
              <w:br/>
            </w:r>
            <w:r>
              <w:rPr>
                <w:rStyle w:val="fontstyle01"/>
                <w:rFonts w:ascii="Times New Roman" w:hAnsi="Times New Roman" w:cs="Times New Roman"/>
              </w:rPr>
              <w:t>kierunków kształcenia do potrzeb lokalnych</w:t>
            </w:r>
            <w:r>
              <w:rPr>
                <w:rFonts w:ascii="Times New Roman" w:hAnsi="Times New Roman" w:cs="Times New Roman"/>
                <w:color w:val="000000"/>
              </w:rPr>
              <w:br/>
            </w:r>
            <w:r>
              <w:rPr>
                <w:rStyle w:val="fontstyle21"/>
                <w:rFonts w:ascii="Times New Roman" w:hAnsi="Times New Roman" w:cs="Times New Roman"/>
              </w:rPr>
              <w:t xml:space="preserve">• </w:t>
            </w:r>
            <w:r>
              <w:rPr>
                <w:rStyle w:val="fontstyle01"/>
                <w:rFonts w:ascii="Times New Roman" w:hAnsi="Times New Roman" w:cs="Times New Roman"/>
              </w:rPr>
              <w:t>Deficyty współpracy z największymi pracodawcami, szczególnie z Lubelskim Węglem Bogdanką S.A.</w:t>
            </w:r>
            <w:r>
              <w:rPr>
                <w:rFonts w:ascii="Times New Roman" w:hAnsi="Times New Roman" w:cs="Times New Roman"/>
                <w:color w:val="000000"/>
              </w:rPr>
              <w:br/>
            </w:r>
            <w:r>
              <w:rPr>
                <w:rStyle w:val="fontstyle21"/>
                <w:rFonts w:ascii="Times New Roman" w:hAnsi="Times New Roman" w:cs="Times New Roman"/>
              </w:rPr>
              <w:t xml:space="preserve">• </w:t>
            </w:r>
            <w:r>
              <w:rPr>
                <w:rStyle w:val="fontstyle01"/>
                <w:rFonts w:ascii="Times New Roman" w:hAnsi="Times New Roman" w:cs="Times New Roman"/>
              </w:rPr>
              <w:t>Dalsza niekontrolowana degradacja środowiska</w:t>
            </w:r>
            <w:r>
              <w:rPr>
                <w:rFonts w:ascii="Times New Roman" w:hAnsi="Times New Roman" w:cs="Times New Roman"/>
                <w:color w:val="000000"/>
              </w:rPr>
              <w:br/>
            </w:r>
            <w:r>
              <w:rPr>
                <w:rStyle w:val="fontstyle01"/>
                <w:rFonts w:ascii="Times New Roman" w:hAnsi="Times New Roman" w:cs="Times New Roman"/>
              </w:rPr>
              <w:t>naturalnego</w:t>
            </w:r>
          </w:p>
          <w:p w:rsidR="00DC75FA" w:rsidRDefault="00DC75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DC75FA" w:rsidRDefault="00DC75FA">
      <w:pPr>
        <w:jc w:val="both"/>
        <w:rPr>
          <w:rFonts w:ascii="Times New Roman" w:hAnsi="Times New Roman" w:cs="Times New Roman"/>
        </w:rPr>
      </w:pPr>
    </w:p>
    <w:p w:rsidR="00DC75FA" w:rsidRDefault="00DC75FA">
      <w:pPr>
        <w:jc w:val="both"/>
        <w:rPr>
          <w:rFonts w:ascii="Times New Roman" w:hAnsi="Times New Roman" w:cs="Times New Roman"/>
        </w:rPr>
      </w:pPr>
    </w:p>
    <w:p w:rsidR="00DC75FA" w:rsidRDefault="00DC75FA">
      <w:pPr>
        <w:jc w:val="both"/>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887D84">
      <w:pPr>
        <w:rPr>
          <w:rFonts w:ascii="Times New Roman" w:hAnsi="Times New Roman" w:cs="Times New Roman"/>
        </w:rPr>
      </w:pPr>
      <w:r>
        <w:br w:type="page"/>
      </w:r>
    </w:p>
    <w:p w:rsidR="00DC75FA" w:rsidRDefault="00887D84">
      <w:pPr>
        <w:pStyle w:val="Nagwek1"/>
        <w:numPr>
          <w:ilvl w:val="0"/>
          <w:numId w:val="2"/>
        </w:numPr>
        <w:rPr>
          <w:rFonts w:ascii="Times New Roman" w:hAnsi="Times New Roman" w:cs="Times New Roman"/>
        </w:rPr>
      </w:pPr>
      <w:bookmarkStart w:id="13" w:name="_Toc105754691"/>
      <w:r>
        <w:rPr>
          <w:rFonts w:ascii="Times New Roman" w:hAnsi="Times New Roman" w:cs="Times New Roman"/>
        </w:rPr>
        <w:lastRenderedPageBreak/>
        <w:t>Wizja, cel strategiczny i cele operacyjne</w:t>
      </w:r>
      <w:bookmarkEnd w:id="13"/>
    </w:p>
    <w:p w:rsidR="00DC75FA" w:rsidRDefault="00DC75FA">
      <w:pPr>
        <w:pStyle w:val="Akapitzlist"/>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Wizja, cel strategiczny oraz cele operacyjne są wynikiem prac diagnostycznych, warsztatów przeprowadzonych we wszystkich gminach leżących na terenie Obszaru Funkcjonalnego Zielone Zagłębie, w których brali udział przedstawiciele różnych sektorów oraz osoby zaangażowane i zainteresowane działaniami rozwojowymi, a także wizji rozwoju wypracowanej wspólnie z włodarzami poszczególnych jednostek.</w:t>
      </w:r>
    </w:p>
    <w:p w:rsidR="00DC75FA" w:rsidRDefault="00887D84">
      <w:pPr>
        <w:jc w:val="both"/>
        <w:rPr>
          <w:rStyle w:val="fontstyle01"/>
          <w:rFonts w:ascii="Times New Roman" w:hAnsi="Times New Roman" w:cs="Times New Roman"/>
        </w:rPr>
      </w:pPr>
      <w:r>
        <w:rPr>
          <w:rStyle w:val="fontstyle01"/>
          <w:rFonts w:ascii="Times New Roman" w:hAnsi="Times New Roman" w:cs="Times New Roman"/>
        </w:rPr>
        <w:t>Na podstawie analizy danych statystycznych oraz danych otrzymanych od pięciu urzędów gmin</w:t>
      </w:r>
      <w:r>
        <w:rPr>
          <w:rFonts w:ascii="Times New Roman" w:hAnsi="Times New Roman" w:cs="Times New Roman"/>
          <w:color w:val="000000"/>
        </w:rPr>
        <w:br/>
      </w:r>
      <w:r>
        <w:rPr>
          <w:rStyle w:val="fontstyle01"/>
          <w:rFonts w:ascii="Times New Roman" w:hAnsi="Times New Roman" w:cs="Times New Roman"/>
        </w:rPr>
        <w:t>eksperci opracowali diagnozę stanu obecnego. Wnioski z analizy posłużyły do identyfikacji mocnych i słabych stron oraz czynników sukcesu i ewentualnej porażki realizacji strategii.</w:t>
      </w:r>
      <w:r>
        <w:rPr>
          <w:rFonts w:ascii="Times New Roman" w:hAnsi="Times New Roman" w:cs="Times New Roman"/>
          <w:color w:val="000000"/>
        </w:rPr>
        <w:br/>
      </w:r>
      <w:r>
        <w:rPr>
          <w:rStyle w:val="fontstyle01"/>
          <w:rFonts w:ascii="Times New Roman" w:hAnsi="Times New Roman" w:cs="Times New Roman"/>
        </w:rPr>
        <w:t>Zidentyfikowane problemy, szanse i zagrożenia po uwzględnieniu potencjału obszaru doprowadziły</w:t>
      </w:r>
      <w:r>
        <w:rPr>
          <w:rFonts w:ascii="Times New Roman" w:hAnsi="Times New Roman" w:cs="Times New Roman"/>
          <w:color w:val="000000"/>
        </w:rPr>
        <w:br/>
      </w:r>
      <w:r>
        <w:rPr>
          <w:rStyle w:val="fontstyle01"/>
          <w:rFonts w:ascii="Times New Roman" w:hAnsi="Times New Roman" w:cs="Times New Roman"/>
        </w:rPr>
        <w:t>ekspertów do sformułowania wizji.</w:t>
      </w:r>
    </w:p>
    <w:p w:rsidR="00DC75FA" w:rsidRDefault="00887D84">
      <w:pPr>
        <w:jc w:val="both"/>
        <w:rPr>
          <w:rStyle w:val="fontstyle01"/>
          <w:rFonts w:ascii="Times New Roman" w:hAnsi="Times New Roman" w:cs="Times New Roman"/>
        </w:rPr>
      </w:pPr>
      <w:r>
        <w:rPr>
          <w:rStyle w:val="fontstyle01"/>
          <w:rFonts w:ascii="Times New Roman" w:hAnsi="Times New Roman" w:cs="Times New Roman"/>
        </w:rPr>
        <w:t>Mając na uwadze dobór wizji odpowiadającej diagnozie oraz przyszłe działania marketingowe</w:t>
      </w:r>
      <w:r>
        <w:rPr>
          <w:rFonts w:ascii="Times New Roman" w:hAnsi="Times New Roman" w:cs="Times New Roman"/>
          <w:color w:val="000000"/>
        </w:rPr>
        <w:br/>
      </w:r>
      <w:r>
        <w:rPr>
          <w:rStyle w:val="fontstyle01"/>
          <w:rFonts w:ascii="Times New Roman" w:hAnsi="Times New Roman" w:cs="Times New Roman"/>
        </w:rPr>
        <w:t>wyróżniające współpracę ponadlokalną na tle innych takich inicjatyw w województwie, wstępnie</w:t>
      </w:r>
      <w:r>
        <w:rPr>
          <w:rFonts w:ascii="Times New Roman" w:hAnsi="Times New Roman" w:cs="Times New Roman"/>
          <w:color w:val="000000"/>
        </w:rPr>
        <w:br/>
      </w:r>
      <w:r>
        <w:rPr>
          <w:rStyle w:val="fontstyle01"/>
          <w:rFonts w:ascii="Times New Roman" w:hAnsi="Times New Roman" w:cs="Times New Roman"/>
        </w:rPr>
        <w:t>wyrażono aprobatę dla pomysły nazwanie obszaru Zielonym Zagłębiem. Nazwa „zagłębie” kojarzy się</w:t>
      </w:r>
      <w:r>
        <w:rPr>
          <w:rFonts w:ascii="Times New Roman" w:hAnsi="Times New Roman" w:cs="Times New Roman"/>
          <w:color w:val="000000"/>
        </w:rPr>
        <w:br/>
      </w:r>
      <w:r>
        <w:rPr>
          <w:rStyle w:val="fontstyle01"/>
          <w:rFonts w:ascii="Times New Roman" w:hAnsi="Times New Roman" w:cs="Times New Roman"/>
        </w:rPr>
        <w:t>z obszarem wydobycia węgla, natomiast przymiotnik „zielone” wskazuje na niewątpliwy potencjał</w:t>
      </w:r>
      <w:r>
        <w:rPr>
          <w:rFonts w:ascii="Times New Roman" w:hAnsi="Times New Roman" w:cs="Times New Roman"/>
          <w:color w:val="000000"/>
        </w:rPr>
        <w:br/>
      </w:r>
      <w:r>
        <w:rPr>
          <w:rStyle w:val="fontstyle01"/>
          <w:rFonts w:ascii="Times New Roman" w:hAnsi="Times New Roman" w:cs="Times New Roman"/>
        </w:rPr>
        <w:t>obszaru, możliwy do wykorzystania w celu rekreacji, wypoczynku, dbałości o środowisko</w:t>
      </w:r>
      <w:r>
        <w:rPr>
          <w:rFonts w:ascii="Times New Roman" w:hAnsi="Times New Roman" w:cs="Times New Roman"/>
          <w:color w:val="000000"/>
        </w:rPr>
        <w:br/>
      </w:r>
      <w:r>
        <w:rPr>
          <w:rStyle w:val="fontstyle01"/>
          <w:rFonts w:ascii="Times New Roman" w:hAnsi="Times New Roman" w:cs="Times New Roman"/>
        </w:rPr>
        <w:t>naturalne, ale także rozwój usług okołoturystycznych, rekreacyjnych, kulturalnych czy sportowych.</w:t>
      </w:r>
      <w:r>
        <w:rPr>
          <w:rFonts w:ascii="Times New Roman" w:hAnsi="Times New Roman" w:cs="Times New Roman"/>
          <w:color w:val="000000"/>
        </w:rPr>
        <w:br/>
      </w:r>
      <w:r>
        <w:rPr>
          <w:rStyle w:val="fontstyle01"/>
          <w:rFonts w:ascii="Times New Roman" w:hAnsi="Times New Roman" w:cs="Times New Roman"/>
        </w:rPr>
        <w:t>Zestawienie „zielone zagłębie” kojarzy się niewątpliwie z oksymoronem, rolą współpracujących jednostek samorządu terytorialnego, jest jednak realizacja takiej polityki rozwoju aby górniczy obszar funkcjonalny nie kojarzył się z zanieczyszczeniem środowiska i negatywnymi aspektami przemysłu węglowego, a wręcz przeciwnie. Gminy wspólnie dążą do tego aby „zielono-niebieski” potencjał obszaru, tj. okolice wielu cieków wodnych, jezior, terenów zielonych, obszarów chronionych, użytków rolnych był wykorzystany do rozwoju rolnictwa, usług turystycznych i rekreacji z uwzględnieniem zachowania walorów środowiska przyrodniczego.</w:t>
      </w:r>
    </w:p>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noProof/>
          <w:lang w:eastAsia="pl-PL"/>
        </w:rPr>
        <w:drawing>
          <wp:inline distT="0" distB="0" distL="0" distR="0">
            <wp:extent cx="5760720" cy="3221990"/>
            <wp:effectExtent l="0" t="0" r="0" b="0"/>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5"/>
                    <pic:cNvPicPr>
                      <a:picLocks noChangeAspect="1" noChangeArrowheads="1"/>
                    </pic:cNvPicPr>
                  </pic:nvPicPr>
                  <pic:blipFill>
                    <a:blip r:embed="rId24"/>
                    <a:stretch>
                      <a:fillRect/>
                    </a:stretch>
                  </pic:blipFill>
                  <pic:spPr bwMode="auto">
                    <a:xfrm>
                      <a:off x="0" y="0"/>
                      <a:ext cx="5760720" cy="3221990"/>
                    </a:xfrm>
                    <a:prstGeom prst="rect">
                      <a:avLst/>
                    </a:prstGeom>
                  </pic:spPr>
                </pic:pic>
              </a:graphicData>
            </a:graphic>
          </wp:inline>
        </w:drawing>
      </w:r>
    </w:p>
    <w:p w:rsidR="00DC75FA" w:rsidRDefault="00DC75FA">
      <w:pPr>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lastRenderedPageBreak/>
        <w:t>Wizja rozwoju ponadlokalnego obszaru współpracy gmin, którą nazywamy Zielonym Zagłębiem opiera się na trzech filarach (trzech „Z” rozumianych jako docelowy etap realizacji strategii „od A do Z” tj. zdrowym społeczeństwie, zyskownych przedsięwzięciach i zerowym zanieczyszczeniu).</w:t>
      </w:r>
    </w:p>
    <w:p w:rsidR="00DC75FA" w:rsidRDefault="00887D84">
      <w:pPr>
        <w:jc w:val="both"/>
        <w:rPr>
          <w:rFonts w:ascii="Times New Roman" w:hAnsi="Times New Roman" w:cs="Times New Roman"/>
        </w:rPr>
      </w:pPr>
      <w:r>
        <w:rPr>
          <w:rFonts w:ascii="Times New Roman" w:hAnsi="Times New Roman" w:cs="Times New Roman"/>
        </w:rPr>
        <w:t>W odpowiedzi na sformułowaną wizję, zaproponowano 3 cele rozwojowe oraz realizujące te cele kierunki działań:</w:t>
      </w:r>
    </w:p>
    <w:tbl>
      <w:tblPr>
        <w:tblStyle w:val="GridTable4Accent5"/>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4472C4"/>
              <w:left w:val="single" w:sz="4" w:space="0" w:color="4472C4"/>
              <w:bottom w:val="single" w:sz="4" w:space="0" w:color="4472C4"/>
              <w:right w:val="single" w:sz="4" w:space="0" w:color="4472C4"/>
            </w:tcBorders>
            <w:shd w:val="clear" w:color="auto" w:fill="2E74B5" w:themeFill="accent1" w:themeFillShade="BF"/>
          </w:tcPr>
          <w:p w:rsidR="00DC75FA" w:rsidRDefault="00887D84">
            <w:pPr>
              <w:spacing w:after="0" w:line="240" w:lineRule="auto"/>
              <w:jc w:val="center"/>
              <w:rPr>
                <w:rFonts w:ascii="Times New Roman" w:hAnsi="Times New Roman" w:cs="Times New Roman"/>
                <w:b w:val="0"/>
                <w:sz w:val="32"/>
                <w:szCs w:val="32"/>
              </w:rPr>
            </w:pPr>
            <w:r>
              <w:rPr>
                <w:rFonts w:ascii="Times New Roman" w:hAnsi="Times New Roman" w:cs="Times New Roman"/>
                <w:b w:val="0"/>
                <w:sz w:val="32"/>
                <w:szCs w:val="32"/>
              </w:rPr>
              <w:t>Innowacyjny rozwój gospodarki oparty na systemie edukacji, lokalnym potencjale przyrodniczym i sieciach powiązań</w:t>
            </w:r>
          </w:p>
        </w:tc>
      </w:tr>
    </w:tbl>
    <w:p w:rsidR="00DC75FA" w:rsidRDefault="00DC75FA">
      <w:pPr>
        <w:jc w:val="both"/>
        <w:rPr>
          <w:rFonts w:ascii="Times New Roman" w:hAnsi="Times New Roman" w:cs="Times New Roman"/>
        </w:rPr>
      </w:pPr>
    </w:p>
    <w:p w:rsidR="00DC75FA" w:rsidRDefault="00887D84">
      <w:pPr>
        <w:pStyle w:val="Akapitzlist"/>
        <w:numPr>
          <w:ilvl w:val="0"/>
          <w:numId w:val="20"/>
        </w:numPr>
        <w:spacing w:after="0" w:line="240" w:lineRule="auto"/>
        <w:rPr>
          <w:rFonts w:ascii="Times New Roman" w:hAnsi="Times New Roman" w:cs="Times New Roman"/>
        </w:rPr>
      </w:pPr>
      <w:r>
        <w:rPr>
          <w:rFonts w:ascii="Times New Roman" w:hAnsi="Times New Roman" w:cs="Times New Roman"/>
        </w:rPr>
        <w:t xml:space="preserve">Rewaloryzacja – zagospodarowanie przestrzeni na cele rekreacyjno-turystyczne, w tym zagospodarowanie terenów rekreacyjnych (zbiorników wodnych z otoczeniem, hałd </w:t>
      </w:r>
      <w:proofErr w:type="spellStart"/>
      <w:r>
        <w:rPr>
          <w:rFonts w:ascii="Times New Roman" w:hAnsi="Times New Roman" w:cs="Times New Roman"/>
        </w:rPr>
        <w:t>pogórniczych</w:t>
      </w:r>
      <w:proofErr w:type="spellEnd"/>
      <w:r>
        <w:rPr>
          <w:rFonts w:ascii="Times New Roman" w:hAnsi="Times New Roman" w:cs="Times New Roman"/>
        </w:rPr>
        <w:t xml:space="preserve">, ścieżek przyrodniczych, tras pieszo-rowerowych, pól </w:t>
      </w:r>
      <w:r w:rsidR="00111592">
        <w:rPr>
          <w:rFonts w:ascii="Times New Roman" w:hAnsi="Times New Roman" w:cs="Times New Roman"/>
        </w:rPr>
        <w:t>golfowych, parków linowych</w:t>
      </w:r>
      <w:r>
        <w:rPr>
          <w:rFonts w:ascii="Times New Roman" w:hAnsi="Times New Roman" w:cs="Times New Roman"/>
        </w:rPr>
        <w:t>, terenów tras dla quadów itp.),</w:t>
      </w:r>
    </w:p>
    <w:p w:rsidR="00DC75FA" w:rsidRDefault="00887D84">
      <w:pPr>
        <w:pStyle w:val="Akapitzlist"/>
        <w:numPr>
          <w:ilvl w:val="0"/>
          <w:numId w:val="4"/>
        </w:numPr>
        <w:jc w:val="both"/>
        <w:rPr>
          <w:rFonts w:ascii="Times New Roman" w:hAnsi="Times New Roman" w:cs="Times New Roman"/>
        </w:rPr>
      </w:pPr>
      <w:r>
        <w:rPr>
          <w:rFonts w:ascii="Times New Roman" w:hAnsi="Times New Roman" w:cs="Times New Roman"/>
        </w:rPr>
        <w:t xml:space="preserve">Wzbogacenie oferty turystycznej poprzez wyeksponowanie w ofercie walorów przyrodniczych, kulturowych (zabytki oraz wydarzenia kulturalne) oraz rekreacyjnych wraz z towarzyszącymi inwestycjami w tym zakresie [np. renowacja zabytków, tworzenie ścieżek dydaktycznych na obszarach chronionych, rozbudowa infrastruktury kultury, itp.], </w:t>
      </w:r>
    </w:p>
    <w:p w:rsidR="00DC75FA" w:rsidRDefault="00887D84">
      <w:pPr>
        <w:pStyle w:val="Akapitzlist"/>
        <w:numPr>
          <w:ilvl w:val="0"/>
          <w:numId w:val="4"/>
        </w:numPr>
        <w:spacing w:after="0" w:line="240" w:lineRule="auto"/>
        <w:jc w:val="both"/>
        <w:rPr>
          <w:rFonts w:ascii="Times New Roman" w:hAnsi="Times New Roman" w:cs="Times New Roman"/>
        </w:rPr>
      </w:pPr>
      <w:r>
        <w:rPr>
          <w:rFonts w:ascii="Times New Roman" w:hAnsi="Times New Roman" w:cs="Times New Roman"/>
        </w:rPr>
        <w:t>Wyznaczenie i uzbrojenie terenów inwestycyjnych pod przemysły strategiczne, w tym okołoturystyczny i usług sportowo-rekreacyjnych</w:t>
      </w:r>
    </w:p>
    <w:p w:rsidR="00DC75FA" w:rsidRDefault="00887D84">
      <w:pPr>
        <w:pStyle w:val="Akapitzlist"/>
        <w:numPr>
          <w:ilvl w:val="0"/>
          <w:numId w:val="4"/>
        </w:numPr>
        <w:jc w:val="both"/>
        <w:rPr>
          <w:rFonts w:ascii="Times New Roman" w:hAnsi="Times New Roman" w:cs="Times New Roman"/>
        </w:rPr>
      </w:pPr>
      <w:r>
        <w:rPr>
          <w:rFonts w:ascii="Times New Roman" w:hAnsi="Times New Roman" w:cs="Times New Roman"/>
        </w:rPr>
        <w:t>Współpraca z jednostkami badawczo-rozwojowymi – utworzenie instytucji otoczenia biznesu, w tym inkubatora zielonych miejsc pracy,</w:t>
      </w:r>
    </w:p>
    <w:p w:rsidR="00DC75FA" w:rsidRDefault="00887D84">
      <w:pPr>
        <w:pStyle w:val="Akapitzlist"/>
        <w:numPr>
          <w:ilvl w:val="0"/>
          <w:numId w:val="4"/>
        </w:numPr>
        <w:jc w:val="both"/>
        <w:rPr>
          <w:rFonts w:ascii="Times New Roman" w:hAnsi="Times New Roman" w:cs="Times New Roman"/>
        </w:rPr>
      </w:pPr>
      <w:r>
        <w:rPr>
          <w:rFonts w:ascii="Times New Roman" w:hAnsi="Times New Roman" w:cs="Times New Roman"/>
        </w:rPr>
        <w:t>Stworzenie warunków opieki nad dziećmi osób powracających na rynek pracy (punkty przedszkolne, kluby dziecięce, przedszkola)</w:t>
      </w:r>
    </w:p>
    <w:p w:rsidR="00DC75FA" w:rsidRDefault="00887D84">
      <w:pPr>
        <w:pStyle w:val="Akapitzlist"/>
        <w:numPr>
          <w:ilvl w:val="0"/>
          <w:numId w:val="4"/>
        </w:numPr>
        <w:jc w:val="both"/>
        <w:rPr>
          <w:rFonts w:ascii="Times New Roman" w:hAnsi="Times New Roman" w:cs="Times New Roman"/>
        </w:rPr>
      </w:pPr>
      <w:r>
        <w:rPr>
          <w:rFonts w:ascii="Times New Roman" w:hAnsi="Times New Roman" w:cs="Times New Roman"/>
        </w:rPr>
        <w:t>Realizacja dodatkowych zajęć edukacyjnych, system praktyk w przedsiębiorstwach strategicznych sektorów</w:t>
      </w:r>
    </w:p>
    <w:p w:rsidR="00DC75FA" w:rsidRDefault="00887D84">
      <w:pPr>
        <w:pStyle w:val="Akapitzlist"/>
        <w:numPr>
          <w:ilvl w:val="0"/>
          <w:numId w:val="4"/>
        </w:numPr>
        <w:jc w:val="both"/>
        <w:rPr>
          <w:rFonts w:ascii="Times New Roman" w:hAnsi="Times New Roman" w:cs="Times New Roman"/>
        </w:rPr>
      </w:pPr>
      <w:r>
        <w:rPr>
          <w:rFonts w:ascii="Times New Roman" w:hAnsi="Times New Roman" w:cs="Times New Roman"/>
        </w:rPr>
        <w:t>Pozyskiwanie dotacji na rozwój działalności gospodarczej w strategicznych sektorach,</w:t>
      </w:r>
    </w:p>
    <w:p w:rsidR="00DC75FA" w:rsidRDefault="00887D84">
      <w:pPr>
        <w:pStyle w:val="Akapitzlist"/>
        <w:numPr>
          <w:ilvl w:val="0"/>
          <w:numId w:val="4"/>
        </w:numPr>
        <w:spacing w:after="0" w:line="240" w:lineRule="auto"/>
        <w:jc w:val="both"/>
        <w:rPr>
          <w:rFonts w:ascii="Times New Roman" w:hAnsi="Times New Roman" w:cs="Times New Roman"/>
        </w:rPr>
      </w:pPr>
      <w:r>
        <w:rPr>
          <w:rFonts w:ascii="Times New Roman" w:hAnsi="Times New Roman" w:cs="Times New Roman"/>
        </w:rPr>
        <w:t>Rozwój przetwórstwa rolno-spożywczego, w tym specjalizacja upraw ekologicznych, ziół, warzyw i owoców,</w:t>
      </w:r>
    </w:p>
    <w:p w:rsidR="00DC75FA" w:rsidRDefault="00DC75FA">
      <w:pPr>
        <w:jc w:val="both"/>
        <w:rPr>
          <w:rFonts w:ascii="Times New Roman" w:hAnsi="Times New Roman" w:cs="Times New Roman"/>
        </w:rPr>
      </w:pPr>
    </w:p>
    <w:tbl>
      <w:tblPr>
        <w:tblStyle w:val="GridTable4Accent5"/>
        <w:tblW w:w="9062" w:type="dxa"/>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4472C4"/>
              <w:left w:val="single" w:sz="4" w:space="0" w:color="4472C4"/>
              <w:bottom w:val="single" w:sz="4" w:space="0" w:color="4472C4"/>
              <w:right w:val="single" w:sz="4" w:space="0" w:color="4472C4"/>
            </w:tcBorders>
            <w:shd w:val="clear" w:color="auto" w:fill="2E74B5" w:themeFill="accent1" w:themeFillShade="BF"/>
          </w:tcPr>
          <w:p w:rsidR="00DC75FA" w:rsidRDefault="00887D84">
            <w:pPr>
              <w:spacing w:after="0" w:line="240" w:lineRule="auto"/>
              <w:jc w:val="center"/>
              <w:rPr>
                <w:rFonts w:ascii="Times New Roman" w:hAnsi="Times New Roman" w:cs="Times New Roman"/>
                <w:b w:val="0"/>
                <w:sz w:val="32"/>
                <w:szCs w:val="32"/>
              </w:rPr>
            </w:pPr>
            <w:r>
              <w:rPr>
                <w:rFonts w:ascii="Times New Roman" w:hAnsi="Times New Roman" w:cs="Times New Roman"/>
                <w:b w:val="0"/>
                <w:sz w:val="32"/>
                <w:szCs w:val="32"/>
              </w:rPr>
              <w:t xml:space="preserve">Przeciwdziałanie wykluczeniu i profilaktyka, wsparcie grup </w:t>
            </w:r>
            <w:proofErr w:type="spellStart"/>
            <w:r>
              <w:rPr>
                <w:rFonts w:ascii="Times New Roman" w:hAnsi="Times New Roman" w:cs="Times New Roman"/>
                <w:b w:val="0"/>
                <w:sz w:val="32"/>
                <w:szCs w:val="32"/>
              </w:rPr>
              <w:t>defaworyzowanych</w:t>
            </w:r>
            <w:proofErr w:type="spellEnd"/>
          </w:p>
        </w:tc>
      </w:tr>
    </w:tbl>
    <w:p w:rsidR="00DC75FA" w:rsidRDefault="00DC75FA">
      <w:pPr>
        <w:jc w:val="both"/>
        <w:rPr>
          <w:rFonts w:ascii="Times New Roman" w:hAnsi="Times New Roman" w:cs="Times New Roman"/>
        </w:rPr>
      </w:pPr>
    </w:p>
    <w:p w:rsidR="00DC75FA" w:rsidRDefault="00887D84">
      <w:pPr>
        <w:pStyle w:val="Akapitzlist"/>
        <w:numPr>
          <w:ilvl w:val="1"/>
          <w:numId w:val="5"/>
        </w:numPr>
        <w:ind w:left="709" w:hanging="425"/>
        <w:jc w:val="both"/>
        <w:rPr>
          <w:rFonts w:ascii="Times New Roman" w:hAnsi="Times New Roman" w:cs="Times New Roman"/>
        </w:rPr>
      </w:pPr>
      <w:r>
        <w:rPr>
          <w:rFonts w:ascii="Times New Roman" w:hAnsi="Times New Roman" w:cs="Times New Roman"/>
        </w:rPr>
        <w:t>Realizacja programów profilaktycznych w Zakładach Opieki Zdrowotnej (ZOZ), modernizacje budynków zakładów opieki zdrowotnej,</w:t>
      </w:r>
    </w:p>
    <w:p w:rsidR="00DC75FA" w:rsidRDefault="00887D84">
      <w:pPr>
        <w:pStyle w:val="Akapitzlist"/>
        <w:numPr>
          <w:ilvl w:val="1"/>
          <w:numId w:val="5"/>
        </w:numPr>
        <w:ind w:left="709" w:hanging="425"/>
        <w:jc w:val="both"/>
        <w:rPr>
          <w:rFonts w:ascii="Times New Roman" w:hAnsi="Times New Roman" w:cs="Times New Roman"/>
        </w:rPr>
      </w:pPr>
      <w:r>
        <w:rPr>
          <w:rFonts w:ascii="Times New Roman" w:hAnsi="Times New Roman" w:cs="Times New Roman"/>
        </w:rPr>
        <w:t>Tworzenie systemów wsparcia i samopomocy,</w:t>
      </w:r>
    </w:p>
    <w:p w:rsidR="00DC75FA" w:rsidRDefault="00887D84">
      <w:pPr>
        <w:pStyle w:val="Akapitzlist"/>
        <w:numPr>
          <w:ilvl w:val="1"/>
          <w:numId w:val="5"/>
        </w:numPr>
        <w:ind w:left="709" w:hanging="425"/>
        <w:jc w:val="both"/>
        <w:rPr>
          <w:rFonts w:ascii="Times New Roman" w:hAnsi="Times New Roman" w:cs="Times New Roman"/>
        </w:rPr>
      </w:pPr>
      <w:r>
        <w:rPr>
          <w:rFonts w:ascii="Times New Roman" w:hAnsi="Times New Roman" w:cs="Times New Roman"/>
        </w:rPr>
        <w:t>Współpraca z instytucjami rynku pracy oraz przedsiębiorstwami mająca na celu aktywizację grup zagrożonych wykluczeniem,</w:t>
      </w:r>
    </w:p>
    <w:p w:rsidR="00DC75FA" w:rsidRDefault="00887D84">
      <w:pPr>
        <w:pStyle w:val="Akapitzlist"/>
        <w:numPr>
          <w:ilvl w:val="1"/>
          <w:numId w:val="5"/>
        </w:numPr>
        <w:ind w:left="709" w:hanging="425"/>
        <w:jc w:val="both"/>
        <w:rPr>
          <w:rFonts w:ascii="Times New Roman" w:hAnsi="Times New Roman" w:cs="Times New Roman"/>
        </w:rPr>
      </w:pPr>
      <w:r>
        <w:rPr>
          <w:rFonts w:ascii="Times New Roman" w:hAnsi="Times New Roman" w:cs="Times New Roman"/>
        </w:rPr>
        <w:t>Współpraca międzysektorowa mająca na celu wzrost standardu świadczenia usług społecznych,</w:t>
      </w:r>
    </w:p>
    <w:p w:rsidR="00DC75FA" w:rsidRDefault="00887D84">
      <w:pPr>
        <w:pStyle w:val="Akapitzlist"/>
        <w:numPr>
          <w:ilvl w:val="1"/>
          <w:numId w:val="5"/>
        </w:numPr>
        <w:ind w:left="709" w:hanging="425"/>
        <w:jc w:val="both"/>
        <w:rPr>
          <w:rFonts w:ascii="Times New Roman" w:hAnsi="Times New Roman" w:cs="Times New Roman"/>
        </w:rPr>
      </w:pPr>
      <w:r>
        <w:rPr>
          <w:rFonts w:ascii="Times New Roman" w:hAnsi="Times New Roman" w:cs="Times New Roman"/>
        </w:rPr>
        <w:t>Tworzenie rodzinnych domów opieki dla dzieci (piecza zastępcza, kluby dziecięce), seniorów i osób niepełnosprawnych [w tym spółdzielnie socjalne, warsztaty terapii zajęciowej],</w:t>
      </w:r>
    </w:p>
    <w:p w:rsidR="00DC75FA" w:rsidRDefault="00887D84">
      <w:pPr>
        <w:pStyle w:val="Akapitzlist"/>
        <w:numPr>
          <w:ilvl w:val="1"/>
          <w:numId w:val="5"/>
        </w:numPr>
        <w:ind w:left="709" w:hanging="425"/>
        <w:jc w:val="both"/>
        <w:rPr>
          <w:rFonts w:ascii="Times New Roman" w:hAnsi="Times New Roman" w:cs="Times New Roman"/>
        </w:rPr>
      </w:pPr>
      <w:r>
        <w:rPr>
          <w:rFonts w:ascii="Times New Roman" w:hAnsi="Times New Roman" w:cs="Times New Roman"/>
        </w:rPr>
        <w:t>Tworzenie infrastruktury wsparcia zdrowotnego - poradni psychologicznych, uzdrowisk, stref fitness i SPA,</w:t>
      </w:r>
    </w:p>
    <w:p w:rsidR="00DC75FA" w:rsidRDefault="00887D84">
      <w:pPr>
        <w:pStyle w:val="Akapitzlist"/>
        <w:numPr>
          <w:ilvl w:val="1"/>
          <w:numId w:val="5"/>
        </w:numPr>
        <w:ind w:left="709" w:hanging="425"/>
        <w:jc w:val="both"/>
        <w:rPr>
          <w:rFonts w:ascii="Times New Roman" w:hAnsi="Times New Roman" w:cs="Times New Roman"/>
        </w:rPr>
      </w:pPr>
      <w:r>
        <w:rPr>
          <w:rFonts w:ascii="Times New Roman" w:hAnsi="Times New Roman" w:cs="Times New Roman"/>
        </w:rPr>
        <w:t xml:space="preserve">Realizacja działań aktywizujących grupy </w:t>
      </w:r>
      <w:proofErr w:type="spellStart"/>
      <w:r>
        <w:rPr>
          <w:rFonts w:ascii="Times New Roman" w:hAnsi="Times New Roman" w:cs="Times New Roman"/>
        </w:rPr>
        <w:t>defaworyzowane</w:t>
      </w:r>
      <w:proofErr w:type="spellEnd"/>
      <w:r>
        <w:rPr>
          <w:rFonts w:ascii="Times New Roman" w:hAnsi="Times New Roman" w:cs="Times New Roman"/>
        </w:rPr>
        <w:t>.</w:t>
      </w:r>
    </w:p>
    <w:p w:rsidR="00DC75FA" w:rsidRDefault="00DC75FA">
      <w:pPr>
        <w:jc w:val="both"/>
        <w:rPr>
          <w:rFonts w:ascii="Times New Roman" w:hAnsi="Times New Roman" w:cs="Times New Roman"/>
        </w:rPr>
      </w:pPr>
    </w:p>
    <w:p w:rsidR="00DC75FA" w:rsidRDefault="00DC75FA">
      <w:pPr>
        <w:jc w:val="both"/>
        <w:rPr>
          <w:rFonts w:ascii="Times New Roman" w:hAnsi="Times New Roman" w:cs="Times New Roman"/>
        </w:rPr>
      </w:pPr>
    </w:p>
    <w:p w:rsidR="00DC75FA" w:rsidRDefault="00DC75FA">
      <w:pPr>
        <w:jc w:val="both"/>
        <w:rPr>
          <w:rFonts w:ascii="Times New Roman" w:hAnsi="Times New Roman" w:cs="Times New Roman"/>
        </w:rPr>
      </w:pPr>
    </w:p>
    <w:p w:rsidR="00DC75FA" w:rsidRDefault="00DC75FA">
      <w:pPr>
        <w:jc w:val="both"/>
        <w:rPr>
          <w:rFonts w:ascii="Times New Roman" w:hAnsi="Times New Roman" w:cs="Times New Roman"/>
        </w:rPr>
      </w:pPr>
    </w:p>
    <w:tbl>
      <w:tblPr>
        <w:tblStyle w:val="GridTable5DarkAccent5"/>
        <w:tblW w:w="9062" w:type="dxa"/>
        <w:shd w:val="clear" w:color="auto" w:fill="D9E2F3"/>
        <w:tblLook w:val="04A0" w:firstRow="1" w:lastRow="0" w:firstColumn="1" w:lastColumn="0" w:noHBand="0" w:noVBand="1"/>
      </w:tblPr>
      <w:tblGrid>
        <w:gridCol w:w="9062"/>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single" w:sz="4" w:space="0" w:color="000000"/>
              <w:left w:val="single" w:sz="4" w:space="0" w:color="000000"/>
              <w:bottom w:val="nil"/>
              <w:right w:val="nil"/>
            </w:tcBorders>
            <w:shd w:val="clear" w:color="auto" w:fill="2E74B5" w:themeFill="accent1" w:themeFillShade="BF"/>
          </w:tcPr>
          <w:p w:rsidR="00DC75FA" w:rsidRDefault="00887D8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Ochrona walorów środowiska i działania </w:t>
            </w:r>
            <w:proofErr w:type="spellStart"/>
            <w:r>
              <w:rPr>
                <w:rFonts w:ascii="Times New Roman" w:hAnsi="Times New Roman" w:cs="Times New Roman"/>
                <w:sz w:val="32"/>
                <w:szCs w:val="32"/>
              </w:rPr>
              <w:t>mitygacyjne</w:t>
            </w:r>
            <w:proofErr w:type="spellEnd"/>
            <w:r>
              <w:rPr>
                <w:rFonts w:ascii="Times New Roman" w:hAnsi="Times New Roman" w:cs="Times New Roman"/>
                <w:sz w:val="32"/>
                <w:szCs w:val="32"/>
              </w:rPr>
              <w:t xml:space="preserve"> (zapobiegawcze)</w:t>
            </w:r>
          </w:p>
        </w:tc>
      </w:tr>
    </w:tbl>
    <w:p w:rsidR="00DC75FA" w:rsidRDefault="00DC75FA">
      <w:pPr>
        <w:jc w:val="both"/>
        <w:rPr>
          <w:rFonts w:ascii="Times New Roman" w:hAnsi="Times New Roman" w:cs="Times New Roman"/>
        </w:rPr>
      </w:pPr>
    </w:p>
    <w:p w:rsidR="00DC75FA" w:rsidRDefault="00887D84">
      <w:pPr>
        <w:pStyle w:val="Akapitzlist"/>
        <w:numPr>
          <w:ilvl w:val="1"/>
          <w:numId w:val="6"/>
        </w:numPr>
        <w:tabs>
          <w:tab w:val="left" w:pos="1276"/>
        </w:tabs>
        <w:ind w:left="709" w:hanging="425"/>
        <w:jc w:val="both"/>
        <w:rPr>
          <w:rFonts w:ascii="Times New Roman" w:hAnsi="Times New Roman" w:cs="Times New Roman"/>
        </w:rPr>
      </w:pPr>
      <w:r>
        <w:rPr>
          <w:rFonts w:ascii="Times New Roman" w:hAnsi="Times New Roman" w:cs="Times New Roman"/>
        </w:rPr>
        <w:t>Dalsza rozbudowa sieci wodno-kanalizacyjnej, modernizacja stacji uzdatniania wody i istniejących sieci,</w:t>
      </w:r>
    </w:p>
    <w:p w:rsidR="00DC75FA" w:rsidRDefault="00887D84">
      <w:pPr>
        <w:pStyle w:val="Akapitzlist"/>
        <w:numPr>
          <w:ilvl w:val="1"/>
          <w:numId w:val="6"/>
        </w:numPr>
        <w:tabs>
          <w:tab w:val="left" w:pos="1276"/>
        </w:tabs>
        <w:ind w:left="709" w:hanging="425"/>
        <w:jc w:val="both"/>
        <w:rPr>
          <w:rFonts w:ascii="Times New Roman" w:hAnsi="Times New Roman" w:cs="Times New Roman"/>
        </w:rPr>
      </w:pPr>
      <w:r>
        <w:rPr>
          <w:rFonts w:ascii="Times New Roman" w:hAnsi="Times New Roman" w:cs="Times New Roman"/>
        </w:rPr>
        <w:t>Zagospodarowanie zdegradowanych przestrzeni na cele turystyki, rekreacji i wypoczynku oraz rozwoju przedsiębiorczości usługowej,</w:t>
      </w:r>
    </w:p>
    <w:p w:rsidR="00DC75FA" w:rsidRDefault="00887D84">
      <w:pPr>
        <w:pStyle w:val="Akapitzlist"/>
        <w:numPr>
          <w:ilvl w:val="1"/>
          <w:numId w:val="6"/>
        </w:numPr>
        <w:tabs>
          <w:tab w:val="left" w:pos="1276"/>
        </w:tabs>
        <w:ind w:left="709" w:hanging="425"/>
        <w:jc w:val="both"/>
        <w:rPr>
          <w:rFonts w:ascii="Times New Roman" w:hAnsi="Times New Roman" w:cs="Times New Roman"/>
        </w:rPr>
      </w:pPr>
      <w:r>
        <w:rPr>
          <w:rFonts w:ascii="Times New Roman" w:hAnsi="Times New Roman" w:cs="Times New Roman"/>
        </w:rPr>
        <w:t>Modernizacja źródeł ciepła na mniej emisyjne, termomodernizacje obiektów użyteczności publicznej, inwestycje w odnawialne źródła energii,</w:t>
      </w:r>
    </w:p>
    <w:p w:rsidR="00DC75FA" w:rsidRDefault="00887D84">
      <w:pPr>
        <w:pStyle w:val="Akapitzlist"/>
        <w:numPr>
          <w:ilvl w:val="1"/>
          <w:numId w:val="6"/>
        </w:numPr>
        <w:tabs>
          <w:tab w:val="left" w:pos="1276"/>
        </w:tabs>
        <w:ind w:left="709" w:hanging="425"/>
        <w:jc w:val="both"/>
        <w:rPr>
          <w:rFonts w:ascii="Times New Roman" w:hAnsi="Times New Roman" w:cs="Times New Roman"/>
        </w:rPr>
      </w:pPr>
      <w:r>
        <w:rPr>
          <w:rFonts w:ascii="Times New Roman" w:hAnsi="Times New Roman" w:cs="Times New Roman"/>
        </w:rPr>
        <w:t>Tworzenie oczek wodnych i ogrodów deszczowych na terenach przy budynkach użyteczności publicznych, pogłębienie rowów przydrożnych i przepustów, zakup urządzeń ratowniczych i prewencyjnych,</w:t>
      </w:r>
    </w:p>
    <w:p w:rsidR="00DC75FA" w:rsidRDefault="00887D84">
      <w:pPr>
        <w:pStyle w:val="Akapitzlist"/>
        <w:numPr>
          <w:ilvl w:val="1"/>
          <w:numId w:val="6"/>
        </w:numPr>
        <w:tabs>
          <w:tab w:val="left" w:pos="1276"/>
        </w:tabs>
        <w:ind w:left="709" w:hanging="425"/>
        <w:jc w:val="both"/>
        <w:rPr>
          <w:rFonts w:ascii="Times New Roman" w:hAnsi="Times New Roman" w:cs="Times New Roman"/>
        </w:rPr>
      </w:pPr>
      <w:r>
        <w:rPr>
          <w:rFonts w:ascii="Times New Roman" w:hAnsi="Times New Roman" w:cs="Times New Roman"/>
        </w:rPr>
        <w:t>Edukacja ekologiczna,</w:t>
      </w:r>
    </w:p>
    <w:p w:rsidR="00DC75FA" w:rsidRDefault="00887D84">
      <w:pPr>
        <w:pStyle w:val="Akapitzlist"/>
        <w:numPr>
          <w:ilvl w:val="1"/>
          <w:numId w:val="6"/>
        </w:numPr>
        <w:tabs>
          <w:tab w:val="left" w:pos="1276"/>
        </w:tabs>
        <w:ind w:left="709" w:hanging="425"/>
        <w:jc w:val="both"/>
        <w:rPr>
          <w:rFonts w:ascii="Times New Roman" w:hAnsi="Times New Roman" w:cs="Times New Roman"/>
        </w:rPr>
      </w:pPr>
      <w:r>
        <w:rPr>
          <w:rFonts w:ascii="Times New Roman" w:hAnsi="Times New Roman" w:cs="Times New Roman"/>
        </w:rPr>
        <w:t>Inwestycje w alternatywne źródła energii (panele fotowoltaiczne i pompy ciepła) oraz przydomowe oczyszczalnie ścieków,</w:t>
      </w:r>
    </w:p>
    <w:p w:rsidR="00DC75FA" w:rsidRDefault="00887D84">
      <w:pPr>
        <w:pStyle w:val="Akapitzlist"/>
        <w:numPr>
          <w:ilvl w:val="1"/>
          <w:numId w:val="6"/>
        </w:numPr>
        <w:tabs>
          <w:tab w:val="left" w:pos="1276"/>
        </w:tabs>
        <w:ind w:left="709" w:hanging="425"/>
        <w:jc w:val="both"/>
        <w:rPr>
          <w:rFonts w:ascii="Times New Roman" w:hAnsi="Times New Roman" w:cs="Times New Roman"/>
        </w:rPr>
      </w:pPr>
      <w:r>
        <w:rPr>
          <w:rFonts w:ascii="Times New Roman" w:hAnsi="Times New Roman" w:cs="Times New Roman"/>
        </w:rPr>
        <w:t>Inwestycje w farmy fotowoltaiczne,</w:t>
      </w:r>
    </w:p>
    <w:p w:rsidR="00DC75FA" w:rsidRDefault="00887D84">
      <w:pPr>
        <w:pStyle w:val="Akapitzlist"/>
        <w:numPr>
          <w:ilvl w:val="1"/>
          <w:numId w:val="6"/>
        </w:numPr>
        <w:tabs>
          <w:tab w:val="left" w:pos="1276"/>
        </w:tabs>
        <w:ind w:left="709" w:hanging="425"/>
        <w:jc w:val="both"/>
        <w:rPr>
          <w:rFonts w:ascii="Times New Roman" w:hAnsi="Times New Roman" w:cs="Times New Roman"/>
        </w:rPr>
      </w:pPr>
      <w:r>
        <w:rPr>
          <w:rFonts w:ascii="Times New Roman" w:hAnsi="Times New Roman" w:cs="Times New Roman"/>
        </w:rPr>
        <w:t>Termomodernizacje budynków,</w:t>
      </w:r>
    </w:p>
    <w:p w:rsidR="00DC75FA" w:rsidRDefault="00887D84">
      <w:pPr>
        <w:pStyle w:val="Akapitzlist"/>
        <w:numPr>
          <w:ilvl w:val="1"/>
          <w:numId w:val="6"/>
        </w:numPr>
        <w:tabs>
          <w:tab w:val="left" w:pos="1276"/>
        </w:tabs>
        <w:ind w:left="709" w:hanging="425"/>
        <w:jc w:val="both"/>
        <w:rPr>
          <w:rFonts w:ascii="Times New Roman" w:hAnsi="Times New Roman" w:cs="Times New Roman"/>
        </w:rPr>
      </w:pPr>
      <w:r>
        <w:rPr>
          <w:rFonts w:ascii="Times New Roman" w:hAnsi="Times New Roman" w:cs="Times New Roman"/>
        </w:rPr>
        <w:t>Recycling i segregacja odpadów.</w:t>
      </w:r>
    </w:p>
    <w:p w:rsidR="00DC75FA" w:rsidRDefault="00DC75FA">
      <w:pPr>
        <w:tabs>
          <w:tab w:val="left" w:pos="1276"/>
        </w:tabs>
        <w:jc w:val="both"/>
        <w:rPr>
          <w:rFonts w:ascii="Times New Roman" w:hAnsi="Times New Roman" w:cs="Times New Roman"/>
        </w:rPr>
      </w:pPr>
    </w:p>
    <w:p w:rsidR="00DC75FA" w:rsidRDefault="00887D84">
      <w:pPr>
        <w:pStyle w:val="Nagwek1"/>
        <w:numPr>
          <w:ilvl w:val="0"/>
          <w:numId w:val="7"/>
        </w:numPr>
        <w:rPr>
          <w:rFonts w:ascii="Times New Roman" w:hAnsi="Times New Roman" w:cs="Times New Roman"/>
        </w:rPr>
      </w:pPr>
      <w:bookmarkStart w:id="14" w:name="_Toc105754692"/>
      <w:r>
        <w:rPr>
          <w:rFonts w:ascii="Times New Roman" w:hAnsi="Times New Roman" w:cs="Times New Roman"/>
        </w:rPr>
        <w:t>Działania podejmowane dla osiągnięcia celów strategicznych oraz wskaźniki ich osiągnięcia</w:t>
      </w:r>
      <w:bookmarkEnd w:id="14"/>
    </w:p>
    <w:p w:rsidR="00DC75FA" w:rsidRDefault="00DC75FA">
      <w:pPr>
        <w:tabs>
          <w:tab w:val="left" w:pos="1276"/>
        </w:tabs>
        <w:jc w:val="both"/>
        <w:rPr>
          <w:rFonts w:ascii="Times New Roman" w:hAnsi="Times New Roman" w:cs="Times New Roman"/>
        </w:rPr>
      </w:pPr>
    </w:p>
    <w:p w:rsidR="00DC75FA" w:rsidRDefault="00887D84">
      <w:pPr>
        <w:pStyle w:val="Nagwek3"/>
        <w:rPr>
          <w:rFonts w:ascii="Times New Roman" w:hAnsi="Times New Roman" w:cs="Times New Roman"/>
        </w:rPr>
      </w:pPr>
      <w:bookmarkStart w:id="15" w:name="_Toc105754693"/>
      <w:r>
        <w:rPr>
          <w:rFonts w:ascii="Times New Roman" w:hAnsi="Times New Roman" w:cs="Times New Roman"/>
        </w:rPr>
        <w:t>Kluczowe przedsięwzięcia obszaru funkcjonalnego Zielone Zagłębie</w:t>
      </w:r>
      <w:bookmarkEnd w:id="15"/>
    </w:p>
    <w:tbl>
      <w:tblPr>
        <w:tblW w:w="9067" w:type="dxa"/>
        <w:tblLook w:val="04A0" w:firstRow="1" w:lastRow="0" w:firstColumn="1" w:lastColumn="0" w:noHBand="0" w:noVBand="1"/>
      </w:tblPr>
      <w:tblGrid>
        <w:gridCol w:w="5949"/>
        <w:gridCol w:w="3118"/>
      </w:tblGrid>
      <w:tr w:rsidR="00DC75FA">
        <w:tc>
          <w:tcPr>
            <w:tcW w:w="5948" w:type="dxa"/>
            <w:tcBorders>
              <w:bottom w:val="single" w:sz="4" w:space="0" w:color="000000"/>
            </w:tcBorders>
            <w:shd w:val="clear" w:color="auto" w:fill="auto"/>
          </w:tcPr>
          <w:p w:rsidR="00DC75FA" w:rsidRDefault="00887D84">
            <w:pPr>
              <w:jc w:val="center"/>
              <w:rPr>
                <w:rFonts w:ascii="Times New Roman" w:hAnsi="Times New Roman" w:cs="Times New Roman"/>
              </w:rPr>
            </w:pPr>
            <w:r>
              <w:rPr>
                <w:rFonts w:ascii="Times New Roman" w:hAnsi="Times New Roman" w:cs="Times New Roman"/>
              </w:rPr>
              <w:t>Projekty</w:t>
            </w:r>
          </w:p>
        </w:tc>
        <w:tc>
          <w:tcPr>
            <w:tcW w:w="3118" w:type="dxa"/>
            <w:tcBorders>
              <w:bottom w:val="single" w:sz="4" w:space="0" w:color="000000"/>
            </w:tcBorders>
            <w:shd w:val="clear" w:color="auto" w:fill="auto"/>
          </w:tcPr>
          <w:p w:rsidR="00DC75FA" w:rsidRDefault="00887D84">
            <w:pPr>
              <w:jc w:val="center"/>
              <w:rPr>
                <w:rFonts w:ascii="Times New Roman" w:hAnsi="Times New Roman" w:cs="Times New Roman"/>
              </w:rPr>
            </w:pPr>
            <w:r>
              <w:rPr>
                <w:rFonts w:ascii="Times New Roman" w:hAnsi="Times New Roman" w:cs="Times New Roman"/>
              </w:rPr>
              <w:t>Wskaźniki stan na rok 2030</w:t>
            </w:r>
          </w:p>
        </w:tc>
      </w:tr>
      <w:tr w:rsidR="00DC75FA">
        <w:tc>
          <w:tcPr>
            <w:tcW w:w="9066" w:type="dxa"/>
            <w:gridSpan w:val="2"/>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center"/>
              <w:rPr>
                <w:rFonts w:ascii="Times New Roman" w:hAnsi="Times New Roman" w:cs="Times New Roman"/>
              </w:rPr>
            </w:pPr>
            <w:r>
              <w:rPr>
                <w:rFonts w:ascii="Times New Roman" w:hAnsi="Times New Roman" w:cs="Times New Roman"/>
              </w:rPr>
              <w:t>Cel 1: Innowacyjny rozwój gospodarki oparty na systemie edukacji, lokalnym potencjale przyrodniczym i sieciach powiązań</w:t>
            </w:r>
          </w:p>
        </w:tc>
      </w:tr>
      <w:tr w:rsidR="00DC75FA">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both"/>
              <w:rPr>
                <w:rFonts w:ascii="Times New Roman" w:hAnsi="Times New Roman" w:cs="Times New Roman"/>
              </w:rPr>
            </w:pPr>
            <w:r>
              <w:rPr>
                <w:rFonts w:ascii="Times New Roman" w:hAnsi="Times New Roman" w:cs="Times New Roman"/>
              </w:rPr>
              <w:t xml:space="preserve">Rekultywacja zdegradowanych terenów </w:t>
            </w:r>
            <w:proofErr w:type="spellStart"/>
            <w:r>
              <w:rPr>
                <w:rFonts w:ascii="Times New Roman" w:hAnsi="Times New Roman" w:cs="Times New Roman"/>
              </w:rPr>
              <w:t>pogórniczych</w:t>
            </w:r>
            <w:proofErr w:type="spellEnd"/>
            <w:r>
              <w:rPr>
                <w:rFonts w:ascii="Times New Roman" w:hAnsi="Times New Roman" w:cs="Times New Roman"/>
              </w:rPr>
              <w:t xml:space="preserve"> na obszar turystyczno-rekreacyjny wraz z infrastrukturą towarzyszącą</w:t>
            </w:r>
          </w:p>
          <w:p w:rsidR="00DC75FA" w:rsidRDefault="00DC75FA">
            <w:pPr>
              <w:jc w:val="both"/>
              <w:rPr>
                <w:rFonts w:ascii="Times New Roman" w:hAnsi="Times New Roman" w:cs="Times New Roman"/>
                <w:b/>
                <w:bCs/>
              </w:rPr>
            </w:pPr>
          </w:p>
          <w:p w:rsidR="00DC75FA" w:rsidRDefault="00887D84">
            <w:pPr>
              <w:pStyle w:val="Bezodstpw"/>
              <w:jc w:val="both"/>
              <w:rPr>
                <w:rFonts w:ascii="Times New Roman" w:hAnsi="Times New Roman" w:cs="Times New Roman"/>
                <w:b/>
                <w:bCs/>
              </w:rPr>
            </w:pPr>
            <w:r>
              <w:rPr>
                <w:rFonts w:ascii="Times New Roman" w:hAnsi="Times New Roman" w:cs="Times New Roman"/>
                <w:b/>
                <w:bCs/>
              </w:rPr>
              <w:t xml:space="preserve">Zakres projektu: </w:t>
            </w:r>
          </w:p>
          <w:p w:rsidR="00DC75FA" w:rsidRDefault="00887D84">
            <w:pPr>
              <w:pStyle w:val="Bezodstpw"/>
              <w:jc w:val="both"/>
              <w:rPr>
                <w:rFonts w:ascii="Times New Roman" w:hAnsi="Times New Roman" w:cs="Times New Roman"/>
                <w:b/>
                <w:bCs/>
              </w:rPr>
            </w:pPr>
            <w:r>
              <w:rPr>
                <w:rFonts w:ascii="Times New Roman" w:hAnsi="Times New Roman" w:cs="Times New Roman"/>
                <w:b/>
                <w:bCs/>
              </w:rPr>
              <w:t xml:space="preserve">zagospodarowanie terenów </w:t>
            </w:r>
            <w:proofErr w:type="spellStart"/>
            <w:r>
              <w:rPr>
                <w:rFonts w:ascii="Times New Roman" w:hAnsi="Times New Roman" w:cs="Times New Roman"/>
                <w:b/>
                <w:bCs/>
              </w:rPr>
              <w:t>pogórniczych</w:t>
            </w:r>
            <w:proofErr w:type="spellEnd"/>
            <w:r>
              <w:rPr>
                <w:rFonts w:ascii="Times New Roman" w:hAnsi="Times New Roman" w:cs="Times New Roman"/>
                <w:b/>
                <w:bCs/>
              </w:rPr>
              <w:t xml:space="preserve"> na miejsca aktywności turystyczno-rekreacyjno-zdrowotnej lokalnej społeczności obszaru funkcjonalnego gmin Puchaczów, Ludwin i Cyców, mieszkańców miasta Łęczna oraz turystów odwiedzających Pojezierze Łęczyńsko-Włodawskie poprzez utworzenie zintegrowanej infrastruktury turystyczno-rekreacyjno-zdrowotnej, w tym zbiorników wodnych i hałd </w:t>
            </w:r>
            <w:proofErr w:type="spellStart"/>
            <w:r>
              <w:rPr>
                <w:rFonts w:ascii="Times New Roman" w:hAnsi="Times New Roman" w:cs="Times New Roman"/>
                <w:b/>
                <w:bCs/>
              </w:rPr>
              <w:t>pogórniczych</w:t>
            </w:r>
            <w:proofErr w:type="spellEnd"/>
            <w:r>
              <w:rPr>
                <w:rFonts w:ascii="Times New Roman" w:hAnsi="Times New Roman" w:cs="Times New Roman"/>
                <w:b/>
                <w:bCs/>
              </w:rPr>
              <w:t xml:space="preserve"> wraz z zagospodarowaniem okolicznego terenu: </w:t>
            </w:r>
          </w:p>
          <w:p w:rsidR="00DC75FA" w:rsidRDefault="00887D84">
            <w:pPr>
              <w:pStyle w:val="Bezodstpw"/>
              <w:jc w:val="both"/>
              <w:rPr>
                <w:rFonts w:ascii="Times New Roman" w:hAnsi="Times New Roman" w:cs="Times New Roman"/>
              </w:rPr>
            </w:pPr>
            <w:r>
              <w:rPr>
                <w:rFonts w:ascii="Times New Roman" w:hAnsi="Times New Roman" w:cs="Times New Roman"/>
                <w:b/>
                <w:bCs/>
              </w:rPr>
              <w:br/>
              <w:t xml:space="preserve">1) zbiornika wodnego na terenie gmin Puchaczów (pełniącego również funkcje ochrony przeciwpowodziowej) o powierzchni ok. 300 ha </w:t>
            </w:r>
          </w:p>
          <w:p w:rsidR="00DC75FA" w:rsidRDefault="00887D84">
            <w:pPr>
              <w:pStyle w:val="Bezodstpw"/>
              <w:jc w:val="both"/>
              <w:rPr>
                <w:rFonts w:ascii="Times New Roman" w:hAnsi="Times New Roman" w:cs="Times New Roman"/>
              </w:rPr>
            </w:pPr>
            <w:r>
              <w:rPr>
                <w:rFonts w:ascii="Times New Roman" w:hAnsi="Times New Roman" w:cs="Times New Roman"/>
                <w:b/>
                <w:bCs/>
              </w:rPr>
              <w:lastRenderedPageBreak/>
              <w:t xml:space="preserve">2) zbiornika wodnego Stawek na terenie gminy Cyców, </w:t>
            </w:r>
            <w:r>
              <w:rPr>
                <w:rFonts w:ascii="Times New Roman" w:hAnsi="Times New Roman" w:cs="Times New Roman"/>
                <w:b/>
                <w:bCs/>
              </w:rPr>
              <w:br/>
              <w:t xml:space="preserve">3) zbiornika wodnego „Cyców” na terenie gminy Cyców, wraz z zagospodarowaniem terenów w obrębie wspomnianych zbiorników wodnych na cele rekreacyjne, społeczne i rozwoju przedsiębiorczości </w:t>
            </w:r>
            <w:r>
              <w:rPr>
                <w:rFonts w:ascii="Times New Roman" w:hAnsi="Times New Roman" w:cs="Times New Roman"/>
                <w:b/>
                <w:bCs/>
              </w:rPr>
              <w:br/>
              <w:t>4) zagospodarowanie zbiornika Szczecin na terenie gmin Ludwin i Puchaczów,</w:t>
            </w:r>
          </w:p>
          <w:p w:rsidR="00DC75FA" w:rsidRDefault="00887D84">
            <w:pPr>
              <w:pStyle w:val="Bezodstpw"/>
              <w:jc w:val="both"/>
              <w:rPr>
                <w:rFonts w:ascii="Times New Roman" w:hAnsi="Times New Roman" w:cs="Times New Roman"/>
                <w:b/>
                <w:bCs/>
              </w:rPr>
            </w:pPr>
            <w:r>
              <w:rPr>
                <w:rFonts w:ascii="Times New Roman" w:hAnsi="Times New Roman" w:cs="Times New Roman"/>
                <w:b/>
                <w:bCs/>
              </w:rPr>
              <w:t xml:space="preserve">5) zagospodarowanie zbiornika Kobyłki (Gmina Ludwin), </w:t>
            </w:r>
            <w:r>
              <w:rPr>
                <w:rFonts w:ascii="Times New Roman" w:hAnsi="Times New Roman" w:cs="Times New Roman"/>
                <w:b/>
                <w:bCs/>
              </w:rPr>
              <w:br/>
              <w:t>6) zagospodarowanie hałdy ziemi po wykopaliskowej w miejscowości Bogdanka na wyciąg narciarski i trasy spacerowe.</w:t>
            </w:r>
          </w:p>
          <w:p w:rsidR="00DC75FA" w:rsidRDefault="00887D84">
            <w:pPr>
              <w:jc w:val="both"/>
              <w:rPr>
                <w:rFonts w:ascii="Times New Roman" w:hAnsi="Times New Roman" w:cs="Times New Roman"/>
                <w:b/>
                <w:bCs/>
              </w:rPr>
            </w:pPr>
            <w:r>
              <w:rPr>
                <w:rFonts w:ascii="Times New Roman" w:hAnsi="Times New Roman" w:cs="Times New Roman"/>
                <w:b/>
                <w:bCs/>
              </w:rPr>
              <w:br/>
              <w:t>Kolejnym elementem projektu będzie stworzenie jednostki budżetowej (zakładu komunalnego związku gmin) Centrum Rehabilitacji Leczniczej - miejsca dla osób, które wymagają pomocy w podratowaniu zdrowia. Wyposażony będzie w nowoczesny sprzętem z zakresu fizjoterapii. Centrum oferować będzie szeroką gamę zabiegów terapeutycznych zabiegi fizykalne (laseroterapia, magnetoterapia, prądy terapeutyczne, ultradźwięki, elektroterapia, promieniowanie i inne, masaże lecznicze klasyczne, limfatyczne, wirowe), kinezyterapia i inne. Planuje się otwarcie sanatorium , tężni oraz wykorzystanie wód fluorkowych w medycynie i branży kosmetycznej</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lastRenderedPageBreak/>
              <w:t>Powierzchnia wspieranych zrekultywowanych gruntów – 2400 ha</w:t>
            </w:r>
          </w:p>
          <w:p w:rsidR="00DC75FA" w:rsidRDefault="00DC75FA">
            <w:pPr>
              <w:rPr>
                <w:rFonts w:ascii="Times New Roman" w:hAnsi="Times New Roman" w:cs="Times New Roman"/>
              </w:rPr>
            </w:pPr>
          </w:p>
          <w:p w:rsidR="00DC75FA" w:rsidRDefault="00887D84">
            <w:pPr>
              <w:rPr>
                <w:rFonts w:ascii="Times New Roman" w:hAnsi="Times New Roman" w:cs="Times New Roman"/>
              </w:rPr>
            </w:pPr>
            <w:r>
              <w:rPr>
                <w:rFonts w:ascii="Times New Roman" w:hAnsi="Times New Roman" w:cs="Times New Roman"/>
              </w:rPr>
              <w:t>Tereny zrekultywowane wykorzystywane jako tereny zielone, pod budowę mieszkań socjalnych lub pod działalność gospodarczą lub społeczną – 2400 ha</w:t>
            </w:r>
          </w:p>
          <w:p w:rsidR="00DC75FA" w:rsidRDefault="00DC75FA">
            <w:pPr>
              <w:rPr>
                <w:rFonts w:ascii="Times New Roman" w:hAnsi="Times New Roman" w:cs="Times New Roman"/>
              </w:rPr>
            </w:pPr>
          </w:p>
        </w:tc>
      </w:tr>
      <w:tr w:rsidR="00DC75FA">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b/>
                <w:bCs/>
              </w:rPr>
            </w:pPr>
            <w:r>
              <w:rPr>
                <w:rFonts w:ascii="Times New Roman" w:hAnsi="Times New Roman" w:cs="Times New Roman"/>
              </w:rPr>
              <w:lastRenderedPageBreak/>
              <w:t>Pozyskiwanie nowych technologii poprzez współpracę z uczelniami lubelskimi.</w:t>
            </w:r>
          </w:p>
          <w:p w:rsidR="00DC75FA" w:rsidRDefault="00887D84">
            <w:pPr>
              <w:pStyle w:val="Bezodstpw"/>
              <w:jc w:val="both"/>
              <w:rPr>
                <w:rFonts w:ascii="Times New Roman" w:hAnsi="Times New Roman" w:cs="Times New Roman"/>
                <w:b/>
                <w:bCs/>
              </w:rPr>
            </w:pPr>
            <w:r>
              <w:rPr>
                <w:rFonts w:ascii="Times New Roman" w:hAnsi="Times New Roman" w:cs="Times New Roman"/>
                <w:b/>
                <w:bCs/>
              </w:rPr>
              <w:t>Zakres projektu:</w:t>
            </w:r>
          </w:p>
          <w:p w:rsidR="00DC75FA" w:rsidRDefault="00887D84">
            <w:pPr>
              <w:pStyle w:val="Bezodstpw"/>
              <w:jc w:val="both"/>
              <w:rPr>
                <w:rFonts w:ascii="Times New Roman" w:hAnsi="Times New Roman" w:cs="Times New Roman"/>
                <w:b/>
                <w:bCs/>
              </w:rPr>
            </w:pPr>
            <w:r>
              <w:rPr>
                <w:rFonts w:ascii="Times New Roman" w:hAnsi="Times New Roman" w:cs="Times New Roman"/>
                <w:b/>
                <w:bCs/>
              </w:rPr>
              <w:t>- przeznaczenie przez gminy terenu i środków finansowych na utworzenie inkubatora przedsiębiorczości,</w:t>
            </w:r>
          </w:p>
          <w:p w:rsidR="00DC75FA" w:rsidRDefault="00887D84">
            <w:pPr>
              <w:pStyle w:val="Bezodstpw"/>
              <w:jc w:val="both"/>
              <w:rPr>
                <w:rFonts w:ascii="Times New Roman" w:hAnsi="Times New Roman" w:cs="Times New Roman"/>
                <w:b/>
                <w:bCs/>
              </w:rPr>
            </w:pPr>
            <w:r>
              <w:rPr>
                <w:rFonts w:ascii="Times New Roman" w:hAnsi="Times New Roman" w:cs="Times New Roman"/>
                <w:b/>
                <w:bCs/>
              </w:rPr>
              <w:t>- zlecenie uczelniom wyższym badań innowacyjnych w zakresie wykorzystania wód fluorkowych, czy wykorzystywaniu odnawialnych źródeł energii (słońce, geotermia) oraz przetwórstwie odpadów (w tym odpadów z paneli fotowoltaicznych, akumulatorów itp.)</w:t>
            </w:r>
          </w:p>
          <w:p w:rsidR="00DC75FA" w:rsidRDefault="00887D84">
            <w:pPr>
              <w:pStyle w:val="Bezodstpw"/>
              <w:jc w:val="both"/>
              <w:rPr>
                <w:rFonts w:ascii="Times New Roman" w:hAnsi="Times New Roman" w:cs="Times New Roman"/>
                <w:b/>
                <w:bCs/>
              </w:rPr>
            </w:pPr>
            <w:r>
              <w:rPr>
                <w:rFonts w:ascii="Times New Roman" w:hAnsi="Times New Roman" w:cs="Times New Roman"/>
                <w:b/>
                <w:bCs/>
              </w:rPr>
              <w:t>- wsparcie start-</w:t>
            </w:r>
            <w:proofErr w:type="spellStart"/>
            <w:r>
              <w:rPr>
                <w:rFonts w:ascii="Times New Roman" w:hAnsi="Times New Roman" w:cs="Times New Roman"/>
                <w:b/>
                <w:bCs/>
              </w:rPr>
              <w:t>upów</w:t>
            </w:r>
            <w:proofErr w:type="spellEnd"/>
            <w:r>
              <w:rPr>
                <w:rFonts w:ascii="Times New Roman" w:hAnsi="Times New Roman" w:cs="Times New Roman"/>
                <w:b/>
                <w:bCs/>
              </w:rPr>
              <w:t xml:space="preserve"> w inkubatorze (usługi doradcze, księgowe, preferencyjne warunki najmu lokali).</w:t>
            </w:r>
          </w:p>
          <w:p w:rsidR="00DC75FA" w:rsidRDefault="00DC75FA">
            <w:pPr>
              <w:jc w:val="both"/>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Wytworzona zdolność inkubacji przedsiębiorstw – 50</w:t>
            </w:r>
          </w:p>
          <w:p w:rsidR="00DC75FA" w:rsidRDefault="00887D84">
            <w:pPr>
              <w:rPr>
                <w:rFonts w:ascii="Times New Roman" w:hAnsi="Times New Roman" w:cs="Times New Roman"/>
              </w:rPr>
            </w:pPr>
            <w:r>
              <w:rPr>
                <w:rFonts w:ascii="Times New Roman" w:hAnsi="Times New Roman" w:cs="Times New Roman"/>
              </w:rPr>
              <w:t>MŚP korzystające z usług inkubatora przedsiębiorczości jeden rok po jego utworzeniu</w:t>
            </w:r>
          </w:p>
        </w:tc>
      </w:tr>
      <w:tr w:rsidR="00DC75FA">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b/>
                <w:bCs/>
              </w:rPr>
            </w:pPr>
            <w:r>
              <w:rPr>
                <w:rFonts w:ascii="Times New Roman" w:hAnsi="Times New Roman" w:cs="Times New Roman"/>
              </w:rPr>
              <w:t xml:space="preserve">Utworzenie strefy lub podstrefy ekonomicznej </w:t>
            </w:r>
            <w:r>
              <w:rPr>
                <w:rFonts w:ascii="Times New Roman" w:hAnsi="Times New Roman" w:cs="Times New Roman"/>
              </w:rPr>
              <w:br/>
              <w:t>jako alternatywy górnictwa</w:t>
            </w:r>
          </w:p>
          <w:p w:rsidR="00DC75FA" w:rsidRDefault="00DC75FA">
            <w:pPr>
              <w:rPr>
                <w:rFonts w:ascii="Times New Roman" w:hAnsi="Times New Roman" w:cs="Times New Roman"/>
                <w:b/>
                <w:bCs/>
              </w:rPr>
            </w:pPr>
          </w:p>
          <w:p w:rsidR="00DC75FA" w:rsidRDefault="00887D84">
            <w:pPr>
              <w:jc w:val="both"/>
              <w:rPr>
                <w:rFonts w:ascii="Times New Roman" w:hAnsi="Times New Roman" w:cs="Times New Roman"/>
              </w:rPr>
            </w:pPr>
            <w:r>
              <w:rPr>
                <w:rFonts w:ascii="Times New Roman" w:hAnsi="Times New Roman" w:cs="Times New Roman"/>
                <w:b/>
                <w:bCs/>
              </w:rPr>
              <w:t>Zakres projektu:</w:t>
            </w:r>
          </w:p>
          <w:p w:rsidR="00DC75FA" w:rsidRDefault="00DC75FA">
            <w:pPr>
              <w:jc w:val="both"/>
              <w:rPr>
                <w:rFonts w:ascii="Times New Roman" w:hAnsi="Times New Roman" w:cs="Times New Roman"/>
                <w:b/>
                <w:bCs/>
              </w:rPr>
            </w:pPr>
          </w:p>
          <w:p w:rsidR="00DC75FA" w:rsidRDefault="00887D84">
            <w:pPr>
              <w:jc w:val="both"/>
              <w:rPr>
                <w:rFonts w:ascii="Times New Roman" w:hAnsi="Times New Roman" w:cs="Times New Roman"/>
                <w:b/>
                <w:bCs/>
              </w:rPr>
            </w:pPr>
            <w:r>
              <w:rPr>
                <w:rFonts w:ascii="Times New Roman" w:hAnsi="Times New Roman" w:cs="Times New Roman"/>
                <w:b/>
                <w:bCs/>
              </w:rPr>
              <w:t>- wyznaczenie lokalizacji,</w:t>
            </w:r>
          </w:p>
          <w:p w:rsidR="00DC75FA" w:rsidRDefault="00887D84">
            <w:pPr>
              <w:jc w:val="both"/>
              <w:rPr>
                <w:rFonts w:ascii="Times New Roman" w:hAnsi="Times New Roman" w:cs="Times New Roman"/>
                <w:b/>
                <w:bCs/>
              </w:rPr>
            </w:pPr>
            <w:r>
              <w:rPr>
                <w:rFonts w:ascii="Times New Roman" w:hAnsi="Times New Roman" w:cs="Times New Roman"/>
                <w:b/>
                <w:bCs/>
              </w:rPr>
              <w:t>- dostosowanie planów zagospodarowania przestrzennego</w:t>
            </w:r>
          </w:p>
          <w:p w:rsidR="00DC75FA" w:rsidRDefault="00887D84">
            <w:pPr>
              <w:jc w:val="both"/>
              <w:rPr>
                <w:rFonts w:ascii="Times New Roman" w:hAnsi="Times New Roman" w:cs="Times New Roman"/>
                <w:b/>
                <w:bCs/>
              </w:rPr>
            </w:pPr>
            <w:r>
              <w:rPr>
                <w:rFonts w:ascii="Times New Roman" w:hAnsi="Times New Roman" w:cs="Times New Roman"/>
                <w:b/>
                <w:bCs/>
              </w:rPr>
              <w:t>- wykup gruntów prywatnych</w:t>
            </w:r>
          </w:p>
          <w:p w:rsidR="00DC75FA" w:rsidRDefault="00887D84">
            <w:pPr>
              <w:jc w:val="both"/>
              <w:rPr>
                <w:rFonts w:ascii="Times New Roman" w:hAnsi="Times New Roman" w:cs="Times New Roman"/>
                <w:b/>
                <w:bCs/>
              </w:rPr>
            </w:pPr>
            <w:r>
              <w:rPr>
                <w:rFonts w:ascii="Times New Roman" w:hAnsi="Times New Roman" w:cs="Times New Roman"/>
                <w:b/>
                <w:bCs/>
              </w:rPr>
              <w:t>- uzbrojenie terenu</w:t>
            </w:r>
          </w:p>
          <w:p w:rsidR="00DC75FA" w:rsidRDefault="00887D84">
            <w:pPr>
              <w:jc w:val="both"/>
              <w:rPr>
                <w:rFonts w:ascii="Times New Roman" w:hAnsi="Times New Roman" w:cs="Times New Roman"/>
                <w:b/>
                <w:bCs/>
              </w:rPr>
            </w:pPr>
            <w:r>
              <w:rPr>
                <w:rFonts w:ascii="Times New Roman" w:hAnsi="Times New Roman" w:cs="Times New Roman"/>
                <w:b/>
                <w:bCs/>
              </w:rPr>
              <w:lastRenderedPageBreak/>
              <w:t>- negocjacje ze specjalnymi strefami ekonomicznymi dotyczące włączenia terenów do SSE</w:t>
            </w:r>
          </w:p>
          <w:p w:rsidR="00DC75FA" w:rsidRDefault="00887D84">
            <w:pPr>
              <w:jc w:val="both"/>
              <w:rPr>
                <w:rFonts w:ascii="Times New Roman" w:hAnsi="Times New Roman" w:cs="Times New Roman"/>
                <w:b/>
                <w:bCs/>
              </w:rPr>
            </w:pPr>
            <w:r>
              <w:rPr>
                <w:rFonts w:ascii="Times New Roman" w:hAnsi="Times New Roman" w:cs="Times New Roman"/>
                <w:b/>
                <w:bCs/>
              </w:rPr>
              <w:t>- prace legislacyjne (rozporządzenie Rady Ministrów)</w:t>
            </w:r>
          </w:p>
          <w:p w:rsidR="00DC75FA" w:rsidRDefault="00887D84">
            <w:pPr>
              <w:jc w:val="both"/>
              <w:rPr>
                <w:rFonts w:ascii="Times New Roman" w:hAnsi="Times New Roman" w:cs="Times New Roman"/>
              </w:rPr>
            </w:pPr>
            <w:r>
              <w:rPr>
                <w:rFonts w:ascii="Times New Roman" w:hAnsi="Times New Roman" w:cs="Times New Roman"/>
                <w:b/>
                <w:bCs/>
              </w:rPr>
              <w:t>- uruchomienie SSE lub jej podstrefy (podpisanie umów z przedsiębiorcami).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lastRenderedPageBreak/>
              <w:t>Powierzchnia wspieranych zrekultywowanych gruntów – 50 ha</w:t>
            </w:r>
          </w:p>
          <w:p w:rsidR="00DC75FA" w:rsidRDefault="00DC75FA">
            <w:pPr>
              <w:rPr>
                <w:rFonts w:ascii="Times New Roman" w:hAnsi="Times New Roman" w:cs="Times New Roman"/>
              </w:rPr>
            </w:pPr>
          </w:p>
          <w:p w:rsidR="00DC75FA" w:rsidRDefault="00887D84">
            <w:pPr>
              <w:rPr>
                <w:rFonts w:ascii="Times New Roman" w:hAnsi="Times New Roman" w:cs="Times New Roman"/>
              </w:rPr>
            </w:pPr>
            <w:r>
              <w:rPr>
                <w:rFonts w:ascii="Times New Roman" w:hAnsi="Times New Roman" w:cs="Times New Roman"/>
              </w:rPr>
              <w:t>Miejsca pracy utworzone we wspieranych podmiotach - 500</w:t>
            </w:r>
          </w:p>
          <w:p w:rsidR="00DC75FA" w:rsidRDefault="00DC75FA">
            <w:pPr>
              <w:rPr>
                <w:rFonts w:ascii="Times New Roman" w:hAnsi="Times New Roman" w:cs="Times New Roman"/>
              </w:rPr>
            </w:pPr>
          </w:p>
        </w:tc>
      </w:tr>
      <w:tr w:rsidR="00DC75FA">
        <w:tc>
          <w:tcPr>
            <w:tcW w:w="9066" w:type="dxa"/>
            <w:gridSpan w:val="2"/>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lastRenderedPageBreak/>
              <w:t xml:space="preserve">Cel 2: Przeciwdziałanie wykluczeniu i profilaktyka, wsparcie grup </w:t>
            </w:r>
            <w:proofErr w:type="spellStart"/>
            <w:r>
              <w:rPr>
                <w:rFonts w:ascii="Times New Roman" w:hAnsi="Times New Roman" w:cs="Times New Roman"/>
              </w:rPr>
              <w:t>defaworyzowanych</w:t>
            </w:r>
            <w:proofErr w:type="spellEnd"/>
          </w:p>
        </w:tc>
      </w:tr>
      <w:tr w:rsidR="00DC75FA">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b/>
                <w:bCs/>
              </w:rPr>
            </w:pPr>
            <w:r>
              <w:rPr>
                <w:rFonts w:ascii="Times New Roman" w:hAnsi="Times New Roman" w:cs="Times New Roman"/>
              </w:rPr>
              <w:t>Stworzenie sieci instytucji wsparcia grup zagrożonych marginalizacją i wykluczeniem społecznym</w:t>
            </w:r>
          </w:p>
          <w:p w:rsidR="00DC75FA" w:rsidRDefault="00DC75FA">
            <w:pPr>
              <w:rPr>
                <w:rFonts w:ascii="Times New Roman" w:hAnsi="Times New Roman" w:cs="Times New Roman"/>
                <w:b/>
                <w:bCs/>
              </w:rPr>
            </w:pPr>
          </w:p>
          <w:p w:rsidR="00DC75FA" w:rsidRDefault="00887D84">
            <w:pPr>
              <w:rPr>
                <w:rFonts w:ascii="Times New Roman" w:hAnsi="Times New Roman" w:cs="Times New Roman"/>
                <w:b/>
                <w:bCs/>
              </w:rPr>
            </w:pPr>
            <w:r>
              <w:rPr>
                <w:rFonts w:ascii="Times New Roman" w:hAnsi="Times New Roman" w:cs="Times New Roman"/>
                <w:b/>
                <w:bCs/>
              </w:rPr>
              <w:t>Zakres projektu:</w:t>
            </w:r>
          </w:p>
          <w:p w:rsidR="00DC75FA" w:rsidRDefault="00887D84">
            <w:pPr>
              <w:rPr>
                <w:rFonts w:ascii="Times New Roman" w:hAnsi="Times New Roman" w:cs="Times New Roman"/>
              </w:rPr>
            </w:pPr>
            <w:r>
              <w:rPr>
                <w:rFonts w:ascii="Times New Roman" w:hAnsi="Times New Roman" w:cs="Times New Roman"/>
                <w:b/>
                <w:bCs/>
              </w:rPr>
              <w:t>- utworzenie w każdej Gminie Klubu Seniora i punktu opieki domowej dla Seniorów</w:t>
            </w:r>
          </w:p>
          <w:p w:rsidR="00DC75FA" w:rsidRDefault="00887D84">
            <w:pPr>
              <w:rPr>
                <w:rFonts w:ascii="Times New Roman" w:hAnsi="Times New Roman" w:cs="Times New Roman"/>
              </w:rPr>
            </w:pPr>
            <w:r>
              <w:rPr>
                <w:rFonts w:ascii="Times New Roman" w:hAnsi="Times New Roman" w:cs="Times New Roman"/>
                <w:b/>
                <w:bCs/>
              </w:rPr>
              <w:t>- organizacja imprez kulturalno-oświatowych i rekreacyjnych</w:t>
            </w:r>
          </w:p>
          <w:p w:rsidR="00DC75FA" w:rsidRDefault="00887D84">
            <w:pPr>
              <w:rPr>
                <w:rFonts w:ascii="Times New Roman" w:hAnsi="Times New Roman" w:cs="Times New Roman"/>
              </w:rPr>
            </w:pPr>
            <w:r>
              <w:rPr>
                <w:rFonts w:ascii="Times New Roman" w:hAnsi="Times New Roman" w:cs="Times New Roman"/>
                <w:b/>
                <w:bCs/>
              </w:rPr>
              <w:t>- wsparcie tworzenia ośrodków wsparcia dla seniorów i osób niepełnosprawnych</w:t>
            </w:r>
          </w:p>
          <w:p w:rsidR="00DC75FA" w:rsidRDefault="00887D84">
            <w:pPr>
              <w:rPr>
                <w:rFonts w:ascii="Times New Roman" w:hAnsi="Times New Roman" w:cs="Times New Roman"/>
              </w:rPr>
            </w:pPr>
            <w:r>
              <w:rPr>
                <w:rFonts w:ascii="Times New Roman" w:hAnsi="Times New Roman" w:cs="Times New Roman"/>
                <w:b/>
                <w:bCs/>
              </w:rPr>
              <w:t>- wsparcie tworzenia punktów rehabilitacyjno-rekreacyjnych</w:t>
            </w:r>
          </w:p>
          <w:p w:rsidR="00DC75FA" w:rsidRDefault="00887D84">
            <w:pPr>
              <w:rPr>
                <w:rFonts w:ascii="Times New Roman" w:hAnsi="Times New Roman" w:cs="Times New Roman"/>
                <w:b/>
                <w:bCs/>
              </w:rPr>
            </w:pPr>
            <w:r>
              <w:rPr>
                <w:rFonts w:ascii="Times New Roman" w:hAnsi="Times New Roman" w:cs="Times New Roman"/>
                <w:b/>
                <w:bCs/>
              </w:rPr>
              <w:t>oraz wypożyczalni sprzętu rehabilitacyjnego wspomagającego terapię</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Liczba utworzonych Klubów Seniora – 5</w:t>
            </w:r>
          </w:p>
          <w:p w:rsidR="00DC75FA" w:rsidRDefault="00887D84">
            <w:pPr>
              <w:rPr>
                <w:rFonts w:ascii="Times New Roman" w:hAnsi="Times New Roman" w:cs="Times New Roman"/>
              </w:rPr>
            </w:pPr>
            <w:r>
              <w:rPr>
                <w:rFonts w:ascii="Times New Roman" w:hAnsi="Times New Roman" w:cs="Times New Roman"/>
              </w:rPr>
              <w:t>Liczba odbiorców usług społecznych – 80 osób (minimum)</w:t>
            </w:r>
          </w:p>
          <w:p w:rsidR="00DC75FA" w:rsidRDefault="00887D84">
            <w:pPr>
              <w:rPr>
                <w:rFonts w:ascii="Times New Roman" w:hAnsi="Times New Roman" w:cs="Times New Roman"/>
              </w:rPr>
            </w:pPr>
            <w:r>
              <w:rPr>
                <w:rFonts w:ascii="Times New Roman" w:hAnsi="Times New Roman" w:cs="Times New Roman"/>
              </w:rPr>
              <w:t>Liczba miejsc w nowych ośrodkach wsparcia (dziennych i całodobowych) – 30</w:t>
            </w:r>
          </w:p>
          <w:p w:rsidR="00DC75FA" w:rsidRDefault="00887D84">
            <w:pPr>
              <w:rPr>
                <w:rFonts w:ascii="Times New Roman" w:hAnsi="Times New Roman" w:cs="Times New Roman"/>
              </w:rPr>
            </w:pPr>
            <w:r>
              <w:rPr>
                <w:rFonts w:ascii="Times New Roman" w:hAnsi="Times New Roman" w:cs="Times New Roman"/>
              </w:rPr>
              <w:t>Liczba osób korzystających z form rehabilitacji - 80</w:t>
            </w:r>
          </w:p>
          <w:p w:rsidR="00DC75FA" w:rsidRDefault="00DC75FA">
            <w:pPr>
              <w:rPr>
                <w:rFonts w:ascii="Times New Roman" w:hAnsi="Times New Roman" w:cs="Times New Roman"/>
              </w:rPr>
            </w:pPr>
          </w:p>
        </w:tc>
      </w:tr>
      <w:tr w:rsidR="00DC75FA">
        <w:tc>
          <w:tcPr>
            <w:tcW w:w="9066" w:type="dxa"/>
            <w:gridSpan w:val="2"/>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 xml:space="preserve">Cel 3: Ochrona walorów środowiska i działania </w:t>
            </w:r>
            <w:proofErr w:type="spellStart"/>
            <w:r>
              <w:rPr>
                <w:rFonts w:ascii="Times New Roman" w:hAnsi="Times New Roman" w:cs="Times New Roman"/>
              </w:rPr>
              <w:t>mitygacyjne</w:t>
            </w:r>
            <w:proofErr w:type="spellEnd"/>
            <w:r>
              <w:rPr>
                <w:rFonts w:ascii="Times New Roman" w:hAnsi="Times New Roman" w:cs="Times New Roman"/>
              </w:rPr>
              <w:t xml:space="preserve"> (zapobiegawcze)</w:t>
            </w:r>
          </w:p>
          <w:p w:rsidR="00DC75FA" w:rsidRDefault="00DC75FA">
            <w:pPr>
              <w:rPr>
                <w:rFonts w:ascii="Times New Roman" w:hAnsi="Times New Roman" w:cs="Times New Roman"/>
              </w:rPr>
            </w:pPr>
          </w:p>
        </w:tc>
      </w:tr>
      <w:tr w:rsidR="00DC75FA">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 xml:space="preserve">Czyste Zielone Zagłębie – Racjonalna Gospodarka Odpadami </w:t>
            </w:r>
          </w:p>
          <w:p w:rsidR="00DC75FA" w:rsidRDefault="00DC75FA">
            <w:pPr>
              <w:rPr>
                <w:rFonts w:ascii="Times New Roman" w:hAnsi="Times New Roman" w:cs="Times New Roman"/>
                <w:b/>
                <w:bCs/>
              </w:rPr>
            </w:pPr>
          </w:p>
          <w:p w:rsidR="00DC75FA" w:rsidRDefault="00887D84">
            <w:pPr>
              <w:rPr>
                <w:rFonts w:ascii="Times New Roman" w:hAnsi="Times New Roman" w:cs="Times New Roman"/>
                <w:b/>
                <w:bCs/>
              </w:rPr>
            </w:pPr>
            <w:r>
              <w:rPr>
                <w:rFonts w:ascii="Times New Roman" w:hAnsi="Times New Roman" w:cs="Times New Roman"/>
                <w:b/>
                <w:bCs/>
              </w:rPr>
              <w:t>Zakres projektu:</w:t>
            </w:r>
          </w:p>
          <w:p w:rsidR="00DC75FA" w:rsidRDefault="00887D84">
            <w:pPr>
              <w:rPr>
                <w:rFonts w:ascii="Times New Roman" w:hAnsi="Times New Roman" w:cs="Times New Roman"/>
              </w:rPr>
            </w:pPr>
            <w:r>
              <w:rPr>
                <w:rFonts w:ascii="Times New Roman" w:hAnsi="Times New Roman" w:cs="Times New Roman"/>
                <w:b/>
                <w:bCs/>
              </w:rPr>
              <w:t>Utworzenie PSZOK, biogazowni odpadów, wspólny przetarg na odbiór odpadów</w:t>
            </w:r>
          </w:p>
          <w:p w:rsidR="00DC75FA" w:rsidRDefault="00887D84">
            <w:pPr>
              <w:pStyle w:val="Bezodstpw"/>
              <w:rPr>
                <w:rFonts w:ascii="Times New Roman" w:hAnsi="Times New Roman" w:cs="Times New Roman"/>
                <w:b/>
                <w:bCs/>
              </w:rPr>
            </w:pPr>
            <w:r>
              <w:rPr>
                <w:rFonts w:ascii="Times New Roman" w:hAnsi="Times New Roman" w:cs="Times New Roman"/>
                <w:b/>
                <w:bCs/>
              </w:rPr>
              <w:t>- budowa elektrociepłowni na biogaz rolniczy o mocy elektrycznej do 1 MW i cieplnej do 1 MW</w:t>
            </w:r>
          </w:p>
          <w:p w:rsidR="00DC75FA" w:rsidRDefault="00DC75FA">
            <w:pPr>
              <w:rPr>
                <w:rFonts w:ascii="Times New Roman" w:hAnsi="Times New Roman" w:cs="Times New Roman"/>
                <w:b/>
                <w:bCs/>
              </w:rPr>
            </w:pPr>
          </w:p>
          <w:p w:rsidR="00DC75FA" w:rsidRDefault="00DC75FA">
            <w:pPr>
              <w:rPr>
                <w:rFonts w:ascii="Times New Roman" w:hAnsi="Times New Roman" w:cs="Times New Roman"/>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887D84">
            <w:pPr>
              <w:rPr>
                <w:rFonts w:ascii="Times New Roman" w:hAnsi="Times New Roman" w:cs="Times New Roman"/>
              </w:rPr>
            </w:pPr>
            <w:r>
              <w:rPr>
                <w:rFonts w:ascii="Times New Roman" w:hAnsi="Times New Roman" w:cs="Times New Roman"/>
              </w:rPr>
              <w:t>- liczba punktów PSZOK: minimum 3</w:t>
            </w:r>
            <w:r>
              <w:rPr>
                <w:rFonts w:ascii="Times New Roman" w:hAnsi="Times New Roman" w:cs="Times New Roman"/>
              </w:rPr>
              <w:br/>
              <w:t>- liczba nowych biogazowni: minimum 1</w:t>
            </w:r>
          </w:p>
          <w:p w:rsidR="00DC75FA" w:rsidRDefault="00887D84">
            <w:pPr>
              <w:rPr>
                <w:rFonts w:ascii="Times New Roman" w:hAnsi="Times New Roman" w:cs="Times New Roman"/>
              </w:rPr>
            </w:pPr>
            <w:r>
              <w:rPr>
                <w:rFonts w:ascii="Times New Roman" w:hAnsi="Times New Roman" w:cs="Times New Roman"/>
              </w:rPr>
              <w:t>Dodatkowa zdolność wytwarzania energii odnawialnej (energii cieplnej) 1 MW 1</w:t>
            </w:r>
          </w:p>
        </w:tc>
      </w:tr>
      <w:tr w:rsidR="00DC75FA">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both"/>
              <w:rPr>
                <w:rFonts w:ascii="Times New Roman" w:hAnsi="Times New Roman" w:cs="Times New Roman"/>
              </w:rPr>
            </w:pPr>
            <w:r>
              <w:rPr>
                <w:rFonts w:ascii="Times New Roman" w:hAnsi="Times New Roman" w:cs="Times New Roman"/>
              </w:rPr>
              <w:t>Zielona energia w Zielonym Zagłębiu</w:t>
            </w:r>
          </w:p>
          <w:p w:rsidR="00DC75FA" w:rsidRDefault="00887D84">
            <w:pPr>
              <w:jc w:val="both"/>
              <w:rPr>
                <w:rFonts w:ascii="Times New Roman" w:hAnsi="Times New Roman" w:cs="Times New Roman"/>
                <w:b/>
                <w:bCs/>
              </w:rPr>
            </w:pPr>
            <w:r>
              <w:rPr>
                <w:rFonts w:ascii="Times New Roman" w:hAnsi="Times New Roman" w:cs="Times New Roman"/>
                <w:b/>
                <w:bCs/>
              </w:rPr>
              <w:t xml:space="preserve">Zakres projektu: </w:t>
            </w:r>
          </w:p>
          <w:p w:rsidR="00DC75FA" w:rsidRDefault="00887D84">
            <w:pPr>
              <w:pStyle w:val="Bezodstpw"/>
              <w:jc w:val="both"/>
              <w:rPr>
                <w:rFonts w:ascii="Times New Roman" w:hAnsi="Times New Roman" w:cs="Times New Roman"/>
                <w:b/>
                <w:bCs/>
              </w:rPr>
            </w:pPr>
            <w:r>
              <w:rPr>
                <w:rFonts w:ascii="Times New Roman" w:hAnsi="Times New Roman" w:cs="Times New Roman"/>
                <w:b/>
                <w:bCs/>
              </w:rPr>
              <w:t xml:space="preserve">- budowa farmy fotowoltaicznej w miejscowości Zawadów (3MW), </w:t>
            </w:r>
          </w:p>
          <w:p w:rsidR="00DC75FA" w:rsidRDefault="00887D84">
            <w:pPr>
              <w:pStyle w:val="Bezodstpw"/>
              <w:jc w:val="both"/>
              <w:rPr>
                <w:rFonts w:ascii="Times New Roman" w:hAnsi="Times New Roman" w:cs="Times New Roman"/>
                <w:b/>
                <w:bCs/>
              </w:rPr>
            </w:pPr>
            <w:r>
              <w:rPr>
                <w:rFonts w:ascii="Times New Roman" w:hAnsi="Times New Roman" w:cs="Times New Roman"/>
                <w:b/>
                <w:bCs/>
              </w:rPr>
              <w:t>- budowa farmy fotowoltaicznej na terenach planowanej elektrowni Stara Wieś (powierzchnia ok. 40 ha) o mocy do (15MW)</w:t>
            </w:r>
          </w:p>
          <w:p w:rsidR="00DC75FA" w:rsidRDefault="00887D84">
            <w:pPr>
              <w:pStyle w:val="Bezodstpw"/>
              <w:jc w:val="both"/>
              <w:rPr>
                <w:rFonts w:ascii="Times New Roman" w:hAnsi="Times New Roman" w:cs="Times New Roman"/>
                <w:b/>
                <w:bCs/>
              </w:rPr>
            </w:pPr>
            <w:r>
              <w:rPr>
                <w:rFonts w:ascii="Times New Roman" w:hAnsi="Times New Roman" w:cs="Times New Roman"/>
                <w:b/>
                <w:bCs/>
              </w:rPr>
              <w:lastRenderedPageBreak/>
              <w:t>- budowa farmy fotowoltaicznej na terenach rekultywowanej niecki wysypiska w Starej Wsi (powierzchnia ok. 3 ha)</w:t>
            </w:r>
          </w:p>
          <w:p w:rsidR="00DC75FA" w:rsidRDefault="00887D84">
            <w:pPr>
              <w:pStyle w:val="Bezodstpw"/>
              <w:jc w:val="both"/>
              <w:rPr>
                <w:rFonts w:ascii="Times New Roman" w:hAnsi="Times New Roman" w:cs="Times New Roman"/>
                <w:b/>
                <w:bCs/>
              </w:rPr>
            </w:pPr>
            <w:r>
              <w:rPr>
                <w:rFonts w:ascii="Times New Roman" w:hAnsi="Times New Roman" w:cs="Times New Roman"/>
                <w:b/>
                <w:bCs/>
              </w:rPr>
              <w:t>- budowa farmy fotowoltaicznej w wybranej miejscowości gminy Cyców o mocy 3 MW</w:t>
            </w:r>
          </w:p>
          <w:p w:rsidR="00DC75FA" w:rsidRDefault="00887D84">
            <w:pPr>
              <w:pStyle w:val="Bezodstpw"/>
              <w:jc w:val="both"/>
              <w:rPr>
                <w:rFonts w:ascii="Times New Roman" w:hAnsi="Times New Roman" w:cs="Times New Roman"/>
                <w:b/>
                <w:bCs/>
              </w:rPr>
            </w:pPr>
            <w:r>
              <w:rPr>
                <w:rFonts w:ascii="Times New Roman" w:hAnsi="Times New Roman" w:cs="Times New Roman"/>
                <w:b/>
                <w:bCs/>
              </w:rPr>
              <w:t xml:space="preserve">- budowa 2 farm fotowoltaicznych do 1 MW w wybranych miejscowościach gmin: Puchaczów, Ludwin, </w:t>
            </w:r>
          </w:p>
          <w:p w:rsidR="00DC75FA" w:rsidRDefault="00887D84">
            <w:pPr>
              <w:pStyle w:val="Bezodstpw"/>
              <w:jc w:val="both"/>
              <w:rPr>
                <w:rFonts w:ascii="Times New Roman" w:hAnsi="Times New Roman" w:cs="Times New Roman"/>
                <w:b/>
                <w:bCs/>
              </w:rPr>
            </w:pPr>
            <w:r>
              <w:rPr>
                <w:rFonts w:ascii="Times New Roman" w:hAnsi="Times New Roman" w:cs="Times New Roman"/>
                <w:b/>
                <w:bCs/>
              </w:rPr>
              <w:t xml:space="preserve">- montaż instalacji do mocy 40kW na 60 budynkach użyteczności publicznej, </w:t>
            </w:r>
          </w:p>
          <w:p w:rsidR="00DC75FA" w:rsidRDefault="00887D84">
            <w:pPr>
              <w:pStyle w:val="Bezodstpw"/>
              <w:jc w:val="both"/>
              <w:rPr>
                <w:rFonts w:ascii="Times New Roman" w:hAnsi="Times New Roman" w:cs="Times New Roman"/>
                <w:b/>
                <w:bCs/>
              </w:rPr>
            </w:pPr>
            <w:r>
              <w:rPr>
                <w:rFonts w:ascii="Times New Roman" w:hAnsi="Times New Roman" w:cs="Times New Roman"/>
                <w:b/>
                <w:bCs/>
              </w:rPr>
              <w:t>- montaż minimum w 1300 gospodarstwach domowych (do mocy 40kW),</w:t>
            </w:r>
          </w:p>
          <w:p w:rsidR="00DC75FA" w:rsidRDefault="00887D84">
            <w:pPr>
              <w:pStyle w:val="Bezodstpw"/>
              <w:jc w:val="both"/>
              <w:rPr>
                <w:rFonts w:ascii="Times New Roman" w:hAnsi="Times New Roman" w:cs="Times New Roman"/>
                <w:b/>
                <w:bCs/>
              </w:rPr>
            </w:pPr>
            <w:r>
              <w:rPr>
                <w:rFonts w:ascii="Times New Roman" w:hAnsi="Times New Roman" w:cs="Times New Roman"/>
                <w:b/>
                <w:bCs/>
              </w:rPr>
              <w:t>- wykorzystanie energii geotermalnej w 10 budynkach użyteczności publicznej oraz 60 gospodarstwach domowych</w:t>
            </w:r>
          </w:p>
          <w:p w:rsidR="00DC75FA" w:rsidRDefault="00887D84">
            <w:pPr>
              <w:jc w:val="both"/>
              <w:rPr>
                <w:rFonts w:ascii="Times New Roman" w:hAnsi="Times New Roman" w:cs="Times New Roman"/>
              </w:rPr>
            </w:pPr>
            <w:r>
              <w:rPr>
                <w:rFonts w:ascii="Times New Roman" w:hAnsi="Times New Roman" w:cs="Times New Roman"/>
                <w:b/>
                <w:bCs/>
              </w:rPr>
              <w:t>- montaż instalacji do ładowania samochodów elektrycznych (10 sztuk)</w:t>
            </w:r>
            <w:r>
              <w:rPr>
                <w:rFonts w:ascii="Times New Roman" w:hAnsi="Times New Roman" w:cs="Times New Roman"/>
                <w:b/>
                <w:bCs/>
              </w:rPr>
              <w:br/>
              <w:t>- montaż magazynów energii (10 sztuk)</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lastRenderedPageBreak/>
              <w:t>Dodatkowa zdolność wytwarzania energii odnawialnej (w tym: energii elektrycznej, energii cieplnej) 82,7 MW (w tym 1,18 MW energii cieplnej i 82,52 MW energii elektrycznej)</w:t>
            </w:r>
          </w:p>
          <w:p w:rsidR="00DC75FA" w:rsidRDefault="00DC75FA">
            <w:pPr>
              <w:rPr>
                <w:rFonts w:ascii="Times New Roman" w:hAnsi="Times New Roman" w:cs="Times New Roman"/>
              </w:rPr>
            </w:pPr>
          </w:p>
          <w:p w:rsidR="00DC75FA" w:rsidRDefault="00887D84">
            <w:pPr>
              <w:rPr>
                <w:rFonts w:ascii="Times New Roman" w:hAnsi="Times New Roman" w:cs="Times New Roman"/>
              </w:rPr>
            </w:pPr>
            <w:r>
              <w:rPr>
                <w:rFonts w:ascii="Times New Roman" w:hAnsi="Times New Roman" w:cs="Times New Roman"/>
              </w:rPr>
              <w:t>Wytworzona energia odnawialna ogółem (w tym: energia elektryczna, energia cieplna) 66,956 MW (w tym 0,94 MW energii cieplnej i 66,016 energii elektrycznej)</w:t>
            </w:r>
          </w:p>
          <w:p w:rsidR="00DC75FA" w:rsidRDefault="00887D84">
            <w:pPr>
              <w:rPr>
                <w:rFonts w:ascii="Times New Roman" w:hAnsi="Times New Roman" w:cs="Times New Roman"/>
              </w:rPr>
            </w:pPr>
            <w:r>
              <w:rPr>
                <w:rFonts w:ascii="Times New Roman" w:hAnsi="Times New Roman" w:cs="Times New Roman"/>
              </w:rPr>
              <w:t>(80% wskaźnika dot. dodatkowej zdolności wytwarzania energii odnawialnej)</w:t>
            </w:r>
          </w:p>
          <w:p w:rsidR="00DC75FA" w:rsidRDefault="00DC75FA">
            <w:pPr>
              <w:rPr>
                <w:rFonts w:ascii="Times New Roman" w:hAnsi="Times New Roman" w:cs="Times New Roman"/>
              </w:rPr>
            </w:pPr>
          </w:p>
          <w:p w:rsidR="00DC75FA" w:rsidRDefault="00887D84">
            <w:pPr>
              <w:rPr>
                <w:rFonts w:ascii="Times New Roman" w:hAnsi="Times New Roman" w:cs="Times New Roman"/>
              </w:rPr>
            </w:pPr>
            <w:r>
              <w:rPr>
                <w:rFonts w:ascii="Times New Roman" w:hAnsi="Times New Roman" w:cs="Times New Roman"/>
              </w:rPr>
              <w:t>Energia odnawialna: zdolność wytwórcza przyłączona do sieci (operacyjna) 82,52 MW</w:t>
            </w:r>
          </w:p>
        </w:tc>
      </w:tr>
    </w:tbl>
    <w:p w:rsidR="00DC75FA" w:rsidRDefault="00DC75FA">
      <w:pPr>
        <w:jc w:val="both"/>
        <w:rPr>
          <w:rFonts w:ascii="Times New Roman" w:hAnsi="Times New Roman" w:cs="Times New Roman"/>
        </w:rPr>
      </w:pPr>
    </w:p>
    <w:p w:rsidR="00DC75FA" w:rsidRDefault="00887D84">
      <w:pPr>
        <w:pStyle w:val="Nagwek1"/>
        <w:rPr>
          <w:rFonts w:ascii="Times New Roman" w:hAnsi="Times New Roman" w:cs="Times New Roman"/>
        </w:rPr>
      </w:pPr>
      <w:bookmarkStart w:id="16" w:name="_Toc105754694"/>
      <w:r>
        <w:rPr>
          <w:rStyle w:val="Nagwek3Znak"/>
          <w:rFonts w:ascii="Times New Roman" w:hAnsi="Times New Roman" w:cs="Times New Roman"/>
        </w:rPr>
        <w:t>Projekty uzupełniające wg celów operacyjnych</w:t>
      </w:r>
      <w:bookmarkEnd w:id="16"/>
    </w:p>
    <w:tbl>
      <w:tblPr>
        <w:tblStyle w:val="GridTable4Accent5"/>
        <w:tblW w:w="9062" w:type="dxa"/>
        <w:tblLook w:val="04A0" w:firstRow="1" w:lastRow="0" w:firstColumn="1" w:lastColumn="0" w:noHBand="0" w:noVBand="1"/>
      </w:tblPr>
      <w:tblGrid>
        <w:gridCol w:w="4532"/>
        <w:gridCol w:w="4530"/>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2"/>
            <w:tcBorders>
              <w:top w:val="single" w:sz="4" w:space="0" w:color="4472C4"/>
              <w:left w:val="single" w:sz="4" w:space="0" w:color="4472C4"/>
              <w:bottom w:val="single" w:sz="4" w:space="0" w:color="4472C4"/>
              <w:right w:val="single" w:sz="4" w:space="0" w:color="4472C4"/>
            </w:tcBorders>
            <w:shd w:val="clear" w:color="auto" w:fill="2E74B5" w:themeFill="accent1" w:themeFillShade="BF"/>
          </w:tcPr>
          <w:p w:rsidR="00DC75FA" w:rsidRDefault="00887D84">
            <w:pPr>
              <w:spacing w:after="0" w:line="240" w:lineRule="auto"/>
              <w:rPr>
                <w:rFonts w:ascii="Times New Roman" w:hAnsi="Times New Roman" w:cs="Times New Roman"/>
              </w:rPr>
            </w:pPr>
            <w:r>
              <w:rPr>
                <w:rFonts w:ascii="Times New Roman" w:hAnsi="Times New Roman" w:cs="Times New Roman"/>
              </w:rPr>
              <w:t>Cel 1: Innowacyjny rozwój gospodarki oparty na systemie edukacji, lokalnym potencjale przyrodniczym i sieciach powiązań</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C75FA" w:rsidRDefault="00887D84">
            <w:pPr>
              <w:spacing w:after="0" w:line="240" w:lineRule="auto"/>
              <w:rPr>
                <w:rFonts w:ascii="Times New Roman" w:hAnsi="Times New Roman" w:cs="Times New Roman"/>
              </w:rPr>
            </w:pPr>
            <w:r>
              <w:rPr>
                <w:rFonts w:ascii="Times New Roman" w:hAnsi="Times New Roman" w:cs="Times New Roman"/>
              </w:rPr>
              <w:t>Projekty samorządowe/publiczne</w:t>
            </w:r>
          </w:p>
        </w:tc>
        <w:tc>
          <w:tcPr>
            <w:tcW w:w="4530" w:type="dxa"/>
          </w:tcPr>
          <w:p w:rsidR="00DC75FA" w:rsidRDefault="00887D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Projekty prywatne</w:t>
            </w:r>
          </w:p>
        </w:tc>
      </w:tr>
      <w:tr w:rsidR="00DC75FA" w:rsidTr="00DC75FA">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DC75FA" w:rsidRDefault="00887D84">
            <w:pPr>
              <w:numPr>
                <w:ilvl w:val="0"/>
                <w:numId w:val="8"/>
              </w:numPr>
              <w:spacing w:after="0" w:line="240" w:lineRule="auto"/>
              <w:rPr>
                <w:rFonts w:ascii="Times New Roman" w:hAnsi="Times New Roman" w:cs="Times New Roman"/>
              </w:rPr>
            </w:pPr>
            <w:r>
              <w:rPr>
                <w:rFonts w:ascii="Times New Roman" w:hAnsi="Times New Roman" w:cs="Times New Roman"/>
              </w:rPr>
              <w:t>Stworzenie warunków opieki nad dziećmi osób powracających na rynek pracy (punkty przedszkolne, kluby dziecięce, przedszkola)</w:t>
            </w:r>
          </w:p>
          <w:p w:rsidR="00DC75FA" w:rsidRDefault="00887D84">
            <w:pPr>
              <w:numPr>
                <w:ilvl w:val="0"/>
                <w:numId w:val="8"/>
              </w:numPr>
              <w:spacing w:after="0" w:line="240" w:lineRule="auto"/>
              <w:rPr>
                <w:rFonts w:ascii="Times New Roman" w:hAnsi="Times New Roman" w:cs="Times New Roman"/>
              </w:rPr>
            </w:pPr>
            <w:r>
              <w:rPr>
                <w:rFonts w:ascii="Times New Roman" w:hAnsi="Times New Roman" w:cs="Times New Roman"/>
              </w:rPr>
              <w:t>Realizacja dodatkowych zajęć edukacyjnych, system praktyk w przedsiębiorstwach strategicznych sektorów</w:t>
            </w:r>
          </w:p>
          <w:p w:rsidR="00DC75FA" w:rsidRDefault="00887D84">
            <w:pPr>
              <w:numPr>
                <w:ilvl w:val="0"/>
                <w:numId w:val="8"/>
              </w:numPr>
              <w:spacing w:after="0" w:line="240" w:lineRule="auto"/>
              <w:rPr>
                <w:rFonts w:ascii="Times New Roman" w:hAnsi="Times New Roman" w:cs="Times New Roman"/>
              </w:rPr>
            </w:pPr>
            <w:r>
              <w:rPr>
                <w:rFonts w:ascii="Times New Roman" w:hAnsi="Times New Roman" w:cs="Times New Roman"/>
              </w:rPr>
              <w:t>Wyznaczenie i uzbrojenie terenów inwestycyjnych pod przemysły strategiczne, w tym okołoturystyczny i usług sportowo-rekreacyjnych</w:t>
            </w:r>
          </w:p>
          <w:p w:rsidR="00DC75FA" w:rsidRDefault="00887D84">
            <w:pPr>
              <w:numPr>
                <w:ilvl w:val="0"/>
                <w:numId w:val="8"/>
              </w:numPr>
              <w:spacing w:after="0" w:line="240" w:lineRule="auto"/>
              <w:rPr>
                <w:rFonts w:ascii="Times New Roman" w:hAnsi="Times New Roman" w:cs="Times New Roman"/>
              </w:rPr>
            </w:pPr>
            <w:r>
              <w:rPr>
                <w:rFonts w:ascii="Times New Roman" w:hAnsi="Times New Roman" w:cs="Times New Roman"/>
              </w:rPr>
              <w:t xml:space="preserve">Zagospodarowanie terenów rekreacyjnych innych niż wskazanych w projekcie kluczowym (zbiorników wodnych z otoczeniem, hałd </w:t>
            </w:r>
            <w:proofErr w:type="spellStart"/>
            <w:r>
              <w:rPr>
                <w:rFonts w:ascii="Times New Roman" w:hAnsi="Times New Roman" w:cs="Times New Roman"/>
              </w:rPr>
              <w:t>pogórniczych</w:t>
            </w:r>
            <w:proofErr w:type="spellEnd"/>
            <w:r>
              <w:rPr>
                <w:rFonts w:ascii="Times New Roman" w:hAnsi="Times New Roman" w:cs="Times New Roman"/>
              </w:rPr>
              <w:t>, ścieżek przyrodniczych, tras pieszo-rowerowych, parków linowych, pól golfowych, terenów tras dla quadów itp.)</w:t>
            </w:r>
          </w:p>
          <w:p w:rsidR="00DC75FA" w:rsidRDefault="00DC75FA">
            <w:pPr>
              <w:spacing w:after="0" w:line="240" w:lineRule="auto"/>
              <w:rPr>
                <w:rFonts w:ascii="Times New Roman" w:hAnsi="Times New Roman" w:cs="Times New Roman"/>
              </w:rPr>
            </w:pPr>
          </w:p>
        </w:tc>
        <w:tc>
          <w:tcPr>
            <w:tcW w:w="4530" w:type="dxa"/>
            <w:shd w:val="clear" w:color="auto" w:fill="auto"/>
          </w:tcPr>
          <w:p w:rsidR="00DC75FA" w:rsidRDefault="00887D84">
            <w:pPr>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Pozyskiwanie dotacji na rozwój działalności gospodarczej w strategicznych sektorach,</w:t>
            </w:r>
          </w:p>
          <w:p w:rsidR="00DC75FA" w:rsidRDefault="00887D84">
            <w:pPr>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Współpraca z jednostkami badawczo-rozwojowymi, </w:t>
            </w:r>
          </w:p>
          <w:p w:rsidR="00DC75FA" w:rsidRDefault="00887D84">
            <w:pPr>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Rozwój przetwórstwa rolno-spożywczego, w tym specjalizacja upraw ekologicznych, ziół, warzyw i owoców,</w:t>
            </w:r>
          </w:p>
          <w:p w:rsidR="00DC75FA" w:rsidRDefault="00DC75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gridSpan w:val="2"/>
            <w:shd w:val="clear" w:color="auto" w:fill="2E74B5" w:themeFill="accent1" w:themeFillShade="BF"/>
          </w:tcPr>
          <w:p w:rsidR="00DC75FA" w:rsidRDefault="00887D84">
            <w:pPr>
              <w:spacing w:after="0" w:line="240" w:lineRule="auto"/>
              <w:rPr>
                <w:rFonts w:ascii="Times New Roman" w:hAnsi="Times New Roman" w:cs="Times New Roman"/>
              </w:rPr>
            </w:pPr>
            <w:r>
              <w:rPr>
                <w:rFonts w:ascii="Times New Roman" w:hAnsi="Times New Roman" w:cs="Times New Roman"/>
              </w:rPr>
              <w:t xml:space="preserve">Cel 2: Przeciwdziałanie wykluczeniu i profilaktyka, wsparcie grup </w:t>
            </w:r>
            <w:proofErr w:type="spellStart"/>
            <w:r>
              <w:rPr>
                <w:rFonts w:ascii="Times New Roman" w:hAnsi="Times New Roman" w:cs="Times New Roman"/>
              </w:rPr>
              <w:t>defaworyzowanych</w:t>
            </w:r>
            <w:proofErr w:type="spellEnd"/>
          </w:p>
        </w:tc>
      </w:tr>
      <w:tr w:rsidR="00DC75FA" w:rsidTr="00DC75FA">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DC75FA" w:rsidRDefault="00887D84">
            <w:pPr>
              <w:spacing w:after="0" w:line="240" w:lineRule="auto"/>
              <w:rPr>
                <w:rFonts w:ascii="Times New Roman" w:hAnsi="Times New Roman" w:cs="Times New Roman"/>
              </w:rPr>
            </w:pPr>
            <w:r>
              <w:rPr>
                <w:rFonts w:ascii="Times New Roman" w:hAnsi="Times New Roman" w:cs="Times New Roman"/>
              </w:rPr>
              <w:t>Projekty samorządowe/publiczne</w:t>
            </w:r>
          </w:p>
        </w:tc>
        <w:tc>
          <w:tcPr>
            <w:tcW w:w="4530" w:type="dxa"/>
            <w:shd w:val="clear" w:color="auto" w:fill="auto"/>
          </w:tcPr>
          <w:p w:rsidR="00DC75FA" w:rsidRDefault="00887D8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Projekty prywatne</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C75FA" w:rsidRDefault="00887D84">
            <w:pPr>
              <w:numPr>
                <w:ilvl w:val="0"/>
                <w:numId w:val="10"/>
              </w:numPr>
              <w:spacing w:after="0" w:line="240" w:lineRule="auto"/>
              <w:rPr>
                <w:rFonts w:ascii="Times New Roman" w:hAnsi="Times New Roman" w:cs="Times New Roman"/>
              </w:rPr>
            </w:pPr>
            <w:r>
              <w:rPr>
                <w:rFonts w:ascii="Times New Roman" w:hAnsi="Times New Roman" w:cs="Times New Roman"/>
              </w:rPr>
              <w:t>Realizacja programów profilaktycznych w ośrodkach zdrowia</w:t>
            </w:r>
          </w:p>
          <w:p w:rsidR="00DC75FA" w:rsidRDefault="00887D84">
            <w:pPr>
              <w:numPr>
                <w:ilvl w:val="0"/>
                <w:numId w:val="10"/>
              </w:numPr>
              <w:spacing w:after="0" w:line="240" w:lineRule="auto"/>
              <w:rPr>
                <w:rFonts w:ascii="Times New Roman" w:hAnsi="Times New Roman" w:cs="Times New Roman"/>
              </w:rPr>
            </w:pPr>
            <w:r>
              <w:rPr>
                <w:rFonts w:ascii="Times New Roman" w:hAnsi="Times New Roman" w:cs="Times New Roman"/>
              </w:rPr>
              <w:t>Tworzenie systemów wsparcia i samopomocy</w:t>
            </w:r>
          </w:p>
          <w:p w:rsidR="00DC75FA" w:rsidRDefault="00887D84">
            <w:pPr>
              <w:numPr>
                <w:ilvl w:val="0"/>
                <w:numId w:val="10"/>
              </w:numPr>
              <w:spacing w:after="0" w:line="240" w:lineRule="auto"/>
              <w:rPr>
                <w:rFonts w:ascii="Times New Roman" w:hAnsi="Times New Roman" w:cs="Times New Roman"/>
              </w:rPr>
            </w:pPr>
            <w:r>
              <w:rPr>
                <w:rFonts w:ascii="Times New Roman" w:hAnsi="Times New Roman" w:cs="Times New Roman"/>
              </w:rPr>
              <w:lastRenderedPageBreak/>
              <w:t>Współpraca z instytucjami rynku pracy oraz przedsiębiorstwami mająca na celu aktywizację grup zagrożonych wykluczeniem</w:t>
            </w:r>
          </w:p>
          <w:p w:rsidR="00DC75FA" w:rsidRDefault="00887D84">
            <w:pPr>
              <w:numPr>
                <w:ilvl w:val="0"/>
                <w:numId w:val="10"/>
              </w:numPr>
              <w:spacing w:after="0" w:line="240" w:lineRule="auto"/>
              <w:rPr>
                <w:rFonts w:ascii="Times New Roman" w:hAnsi="Times New Roman" w:cs="Times New Roman"/>
              </w:rPr>
            </w:pPr>
            <w:r>
              <w:rPr>
                <w:rFonts w:ascii="Times New Roman" w:hAnsi="Times New Roman" w:cs="Times New Roman"/>
              </w:rPr>
              <w:t>Współpraca międzysektorowa mająca na celu wzrost standardu świadczenia usług społecznych</w:t>
            </w:r>
          </w:p>
          <w:p w:rsidR="00DC75FA" w:rsidRDefault="00887D84">
            <w:pPr>
              <w:numPr>
                <w:ilvl w:val="0"/>
                <w:numId w:val="10"/>
              </w:numPr>
              <w:spacing w:after="0" w:line="240" w:lineRule="auto"/>
              <w:rPr>
                <w:rFonts w:ascii="Times New Roman" w:hAnsi="Times New Roman" w:cs="Times New Roman"/>
              </w:rPr>
            </w:pPr>
            <w:r>
              <w:rPr>
                <w:rFonts w:ascii="Times New Roman" w:hAnsi="Times New Roman" w:cs="Times New Roman"/>
              </w:rPr>
              <w:t>Wyznaczenie i utworzenie tras pieszo-rowerowych (z potrzebną infrastrukturą parkingów, wypożyczalni rowerów, miejscami piknikowymi, postojowymi bezpiecznymi przejściami itp.) w celu zapewnienia miejsc do aktywnej rekreacji i wypoczynku.</w:t>
            </w:r>
          </w:p>
          <w:p w:rsidR="00DC75FA" w:rsidRDefault="00DC75FA">
            <w:pPr>
              <w:spacing w:after="0" w:line="240" w:lineRule="auto"/>
              <w:rPr>
                <w:rFonts w:ascii="Times New Roman" w:hAnsi="Times New Roman" w:cs="Times New Roman"/>
              </w:rPr>
            </w:pPr>
          </w:p>
        </w:tc>
        <w:tc>
          <w:tcPr>
            <w:tcW w:w="4530" w:type="dxa"/>
          </w:tcPr>
          <w:p w:rsidR="00DC75FA" w:rsidRDefault="00887D84">
            <w:pPr>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Tworzenie rodzinnych domów opieki dla dzieci (piecza zastępcza, kluby dziecięce), seniorów i osób niepełnosprawnych [w tym spółdzielnie socjalne, warsztaty terapii zajęciowej], </w:t>
            </w:r>
          </w:p>
          <w:p w:rsidR="00DC75FA" w:rsidRDefault="00887D84">
            <w:pPr>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Tworzenie infrastruktury wsparcia zdrowotnego - poradni psychologicznych, uzdrowisk, stref fitness i SPA</w:t>
            </w:r>
          </w:p>
          <w:p w:rsidR="00DC75FA" w:rsidRDefault="00887D84">
            <w:pPr>
              <w:numPr>
                <w:ilvl w:val="0"/>
                <w:numId w:val="1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Realizacja działań aktywizujących grupy </w:t>
            </w:r>
            <w:proofErr w:type="spellStart"/>
            <w:r>
              <w:rPr>
                <w:rFonts w:ascii="Times New Roman" w:hAnsi="Times New Roman" w:cs="Times New Roman"/>
              </w:rPr>
              <w:t>defaworyzowane</w:t>
            </w:r>
            <w:proofErr w:type="spellEnd"/>
          </w:p>
          <w:p w:rsidR="00DC75FA" w:rsidRDefault="00DC75F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C75FA" w:rsidTr="00DC75FA">
        <w:tc>
          <w:tcPr>
            <w:cnfStyle w:val="001000000000" w:firstRow="0" w:lastRow="0" w:firstColumn="1" w:lastColumn="0" w:oddVBand="0" w:evenVBand="0" w:oddHBand="0" w:evenHBand="0" w:firstRowFirstColumn="0" w:firstRowLastColumn="0" w:lastRowFirstColumn="0" w:lastRowLastColumn="0"/>
            <w:tcW w:w="9061" w:type="dxa"/>
            <w:gridSpan w:val="2"/>
            <w:shd w:val="clear" w:color="auto" w:fill="2E74B5" w:themeFill="accent1" w:themeFillShade="BF"/>
          </w:tcPr>
          <w:p w:rsidR="00DC75FA" w:rsidRDefault="00887D84">
            <w:pPr>
              <w:spacing w:after="0" w:line="240" w:lineRule="auto"/>
              <w:rPr>
                <w:rFonts w:ascii="Times New Roman" w:hAnsi="Times New Roman" w:cs="Times New Roman"/>
              </w:rPr>
            </w:pPr>
            <w:r>
              <w:rPr>
                <w:rFonts w:ascii="Times New Roman" w:hAnsi="Times New Roman" w:cs="Times New Roman"/>
              </w:rPr>
              <w:lastRenderedPageBreak/>
              <w:t xml:space="preserve">Cel 3: Ochrona walorów środowiska i działania </w:t>
            </w:r>
            <w:proofErr w:type="spellStart"/>
            <w:r>
              <w:rPr>
                <w:rFonts w:ascii="Times New Roman" w:hAnsi="Times New Roman" w:cs="Times New Roman"/>
              </w:rPr>
              <w:t>mitygacyjne</w:t>
            </w:r>
            <w:proofErr w:type="spellEnd"/>
            <w:r>
              <w:rPr>
                <w:rFonts w:ascii="Times New Roman" w:hAnsi="Times New Roman" w:cs="Times New Roman"/>
              </w:rPr>
              <w:t xml:space="preserve"> (zapobiegawcze)</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C75FA" w:rsidRDefault="00887D84">
            <w:pPr>
              <w:spacing w:after="0" w:line="240" w:lineRule="auto"/>
              <w:rPr>
                <w:rFonts w:ascii="Times New Roman" w:hAnsi="Times New Roman" w:cs="Times New Roman"/>
              </w:rPr>
            </w:pPr>
            <w:r>
              <w:rPr>
                <w:rFonts w:ascii="Times New Roman" w:hAnsi="Times New Roman" w:cs="Times New Roman"/>
              </w:rPr>
              <w:t>Projekty samorządowe/publiczne</w:t>
            </w:r>
          </w:p>
        </w:tc>
        <w:tc>
          <w:tcPr>
            <w:tcW w:w="4530" w:type="dxa"/>
          </w:tcPr>
          <w:p w:rsidR="00DC75FA" w:rsidRDefault="00887D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Projekty prywatne</w:t>
            </w:r>
          </w:p>
        </w:tc>
      </w:tr>
      <w:tr w:rsidR="00DC75FA" w:rsidTr="00DC75FA">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DC75FA" w:rsidRDefault="00887D84">
            <w:pPr>
              <w:numPr>
                <w:ilvl w:val="0"/>
                <w:numId w:val="10"/>
              </w:numPr>
              <w:spacing w:after="0" w:line="240" w:lineRule="auto"/>
              <w:rPr>
                <w:rFonts w:ascii="Times New Roman" w:hAnsi="Times New Roman" w:cs="Times New Roman"/>
              </w:rPr>
            </w:pPr>
            <w:r>
              <w:rPr>
                <w:rFonts w:ascii="Times New Roman" w:hAnsi="Times New Roman" w:cs="Times New Roman"/>
              </w:rPr>
              <w:t>Dalsza rozbudowa sieci wodno-kanalizacyjnej, modernizacja stacji uzdatniania wody i istniejących sieci,</w:t>
            </w:r>
          </w:p>
          <w:p w:rsidR="00DC75FA" w:rsidRDefault="00887D84">
            <w:pPr>
              <w:numPr>
                <w:ilvl w:val="0"/>
                <w:numId w:val="10"/>
              </w:numPr>
              <w:spacing w:after="0" w:line="240" w:lineRule="auto"/>
              <w:rPr>
                <w:rFonts w:ascii="Times New Roman" w:hAnsi="Times New Roman" w:cs="Times New Roman"/>
              </w:rPr>
            </w:pPr>
            <w:r>
              <w:rPr>
                <w:rFonts w:ascii="Times New Roman" w:hAnsi="Times New Roman" w:cs="Times New Roman"/>
              </w:rPr>
              <w:t xml:space="preserve">Zagospodarowanie zdegradowanych przestrzeni na cele turystyki, rekreacji i wypoczynku oraz rozwoju przedsiębiorczości usługowej </w:t>
            </w:r>
          </w:p>
          <w:p w:rsidR="00DC75FA" w:rsidRDefault="00887D84">
            <w:pPr>
              <w:numPr>
                <w:ilvl w:val="0"/>
                <w:numId w:val="10"/>
              </w:numPr>
              <w:spacing w:after="0" w:line="240" w:lineRule="auto"/>
              <w:rPr>
                <w:rFonts w:ascii="Times New Roman" w:hAnsi="Times New Roman" w:cs="Times New Roman"/>
              </w:rPr>
            </w:pPr>
            <w:r>
              <w:rPr>
                <w:rFonts w:ascii="Times New Roman" w:hAnsi="Times New Roman" w:cs="Times New Roman"/>
              </w:rPr>
              <w:t>Modernizacja źródeł ciepła na mniej emisyjne, termomodernizacje obiektów użyteczności publicznej, inwestycje w odnawialne źródła energii</w:t>
            </w:r>
          </w:p>
          <w:p w:rsidR="00DC75FA" w:rsidRDefault="00887D84">
            <w:pPr>
              <w:numPr>
                <w:ilvl w:val="0"/>
                <w:numId w:val="10"/>
              </w:numPr>
              <w:spacing w:after="0" w:line="240" w:lineRule="auto"/>
              <w:rPr>
                <w:rFonts w:ascii="Times New Roman" w:hAnsi="Times New Roman" w:cs="Times New Roman"/>
              </w:rPr>
            </w:pPr>
            <w:r>
              <w:rPr>
                <w:rFonts w:ascii="Times New Roman" w:hAnsi="Times New Roman" w:cs="Times New Roman"/>
              </w:rPr>
              <w:t>Tworzenie oczek wodnych i ogrodów deszczowych na terenach przy budynkach użyteczności publicznych, pogłębienie rowów i przepustów, zakup urządzeń ratowniczych i prewencyjnych,</w:t>
            </w:r>
          </w:p>
          <w:p w:rsidR="00DC75FA" w:rsidRDefault="00887D84">
            <w:pPr>
              <w:numPr>
                <w:ilvl w:val="0"/>
                <w:numId w:val="10"/>
              </w:numPr>
              <w:spacing w:after="0" w:line="240" w:lineRule="auto"/>
              <w:rPr>
                <w:rFonts w:ascii="Times New Roman" w:hAnsi="Times New Roman" w:cs="Times New Roman"/>
              </w:rPr>
            </w:pPr>
            <w:r>
              <w:rPr>
                <w:rFonts w:ascii="Times New Roman" w:hAnsi="Times New Roman" w:cs="Times New Roman"/>
              </w:rPr>
              <w:t>Edukacja ekologiczna</w:t>
            </w:r>
          </w:p>
        </w:tc>
        <w:tc>
          <w:tcPr>
            <w:tcW w:w="4530" w:type="dxa"/>
            <w:shd w:val="clear" w:color="auto" w:fill="auto"/>
          </w:tcPr>
          <w:p w:rsidR="00DC75FA" w:rsidRDefault="00887D84">
            <w:pPr>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Inwestycje w alternatywne źródła energii (panele fotowoltaiczne i pompy ciepła) oraz przydomowe oczyszczalnie ścieków</w:t>
            </w:r>
          </w:p>
          <w:p w:rsidR="00DC75FA" w:rsidRDefault="00887D84">
            <w:pPr>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Inwestycje w farmy fotowoltaiczne</w:t>
            </w:r>
          </w:p>
          <w:p w:rsidR="00DC75FA" w:rsidRDefault="00887D84">
            <w:pPr>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Termomodernizacje budynków</w:t>
            </w:r>
          </w:p>
          <w:p w:rsidR="00DC75FA" w:rsidRDefault="00887D84">
            <w:pPr>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Recycling i segregacja odpadów</w:t>
            </w:r>
          </w:p>
          <w:p w:rsidR="00DC75FA" w:rsidRDefault="00DC75F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DC75FA" w:rsidRDefault="00887D84">
      <w:pPr>
        <w:pStyle w:val="Nagwek1"/>
        <w:rPr>
          <w:rFonts w:ascii="Times New Roman" w:hAnsi="Times New Roman" w:cs="Times New Roman"/>
          <w:sz w:val="22"/>
          <w:szCs w:val="22"/>
        </w:rPr>
      </w:pPr>
      <w:r>
        <w:br w:type="page"/>
      </w:r>
    </w:p>
    <w:p w:rsidR="00DC75FA" w:rsidRDefault="00887D84">
      <w:pPr>
        <w:pStyle w:val="Nagwek1"/>
        <w:numPr>
          <w:ilvl w:val="0"/>
          <w:numId w:val="7"/>
        </w:numPr>
        <w:jc w:val="both"/>
        <w:rPr>
          <w:rFonts w:ascii="Times New Roman" w:hAnsi="Times New Roman" w:cs="Times New Roman"/>
        </w:rPr>
      </w:pPr>
      <w:bookmarkStart w:id="17" w:name="_Toc105754695"/>
      <w:r>
        <w:rPr>
          <w:rFonts w:ascii="Times New Roman" w:hAnsi="Times New Roman" w:cs="Times New Roman"/>
        </w:rPr>
        <w:lastRenderedPageBreak/>
        <w:t>Spójność z celami polityki regionalnej Strategii Rozwoju Województwa Lubelskiego 2030</w:t>
      </w:r>
      <w:bookmarkEnd w:id="17"/>
      <w:r>
        <w:rPr>
          <w:rFonts w:ascii="Times New Roman" w:hAnsi="Times New Roman" w:cs="Times New Roman"/>
        </w:rPr>
        <w:t xml:space="preserve"> </w:t>
      </w:r>
    </w:p>
    <w:p w:rsidR="00DC75FA" w:rsidRDefault="00DC75FA">
      <w:pPr>
        <w:pStyle w:val="Akapitzlist"/>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Zgodnie ze Strategią Rozwoju Województwa Lubelskiego 2030,przyjętą przez Sejmik Województwa Lubelskiego Uchwałą nr/XXIV/406/2021 z dnia 29 marca 2021 r. w sprawie przyjęcia Strategii Rozwoju Województwa Lubelskiego do 2030 roku realizacja projektów wdrożeniowych przyczyni się do realizacji m.in.:</w:t>
      </w:r>
    </w:p>
    <w:p w:rsidR="00DC75FA" w:rsidRDefault="00887D84">
      <w:pPr>
        <w:jc w:val="both"/>
        <w:rPr>
          <w:rFonts w:ascii="Times New Roman" w:hAnsi="Times New Roman" w:cs="Times New Roman"/>
        </w:rPr>
      </w:pPr>
      <w:r>
        <w:rPr>
          <w:rFonts w:ascii="Times New Roman" w:hAnsi="Times New Roman" w:cs="Times New Roman"/>
        </w:rPr>
        <w:t>Celu 2 – Wzmocnienie powiązań i układów funkcjonalnych (poprzez współpracę i wspólne inwestycje gmin górniczych: Puchaczów, Cyców, Ludwin, Milejów i Urszulin), w tym poprzez: zrównoważony rozwój infrastruktury technicznej (cel 2.1), wielofunkcyjny rozwój obszarów wiejskich (cel 2.3), ochronę walorów środowiska (cel 2.4)</w:t>
      </w:r>
    </w:p>
    <w:p w:rsidR="00DC75FA" w:rsidRDefault="00887D84">
      <w:pPr>
        <w:jc w:val="both"/>
        <w:rPr>
          <w:rFonts w:ascii="Times New Roman" w:hAnsi="Times New Roman" w:cs="Times New Roman"/>
        </w:rPr>
      </w:pPr>
      <w:r>
        <w:rPr>
          <w:rFonts w:ascii="Times New Roman" w:hAnsi="Times New Roman" w:cs="Times New Roman"/>
        </w:rPr>
        <w:t xml:space="preserve">Celu 3 – Innowacyjny rozwój gospodarki oparty o zasoby i potencjał regionu. </w:t>
      </w:r>
    </w:p>
    <w:p w:rsidR="00DC75FA" w:rsidRDefault="00887D84">
      <w:pPr>
        <w:jc w:val="both"/>
        <w:rPr>
          <w:rFonts w:ascii="Times New Roman" w:hAnsi="Times New Roman" w:cs="Times New Roman"/>
        </w:rPr>
      </w:pPr>
      <w:r>
        <w:rPr>
          <w:rFonts w:ascii="Times New Roman" w:hAnsi="Times New Roman" w:cs="Times New Roman"/>
        </w:rPr>
        <w:t xml:space="preserve">Wśród potencjałów regionu zidentyfikowano: cenne zasoby przyrody nieożywionej (naturalna i pokopalniana rzeźba terenu umożliwiająca powstanie nowych zbiorników wodnych); potencjał przedsiębiorstw, które przy odpowiednim wsparciu mogą rozwinąć się lub rozszerzyć/przekwalifikować wachlarz usług czy produkcji w kierunkach prozdrowotnych, oraz w usługach branż sportowo-turystyczno-rekreacyjnych. w końcu zagospodarowanie terenów </w:t>
      </w:r>
      <w:proofErr w:type="spellStart"/>
      <w:r>
        <w:rPr>
          <w:rFonts w:ascii="Times New Roman" w:hAnsi="Times New Roman" w:cs="Times New Roman"/>
        </w:rPr>
        <w:t>pogórniczych</w:t>
      </w:r>
      <w:proofErr w:type="spellEnd"/>
      <w:r>
        <w:rPr>
          <w:rFonts w:ascii="Times New Roman" w:hAnsi="Times New Roman" w:cs="Times New Roman"/>
        </w:rPr>
        <w:t xml:space="preserve"> dodatnio wpłynie na przyrodę regionu oraz rozwój usług turystycznych, rekreacyjnych, prospołecznych i prozdrowotnych.</w:t>
      </w:r>
    </w:p>
    <w:p w:rsidR="00DC75FA" w:rsidRDefault="00887D84">
      <w:pPr>
        <w:jc w:val="both"/>
        <w:rPr>
          <w:rFonts w:ascii="Times New Roman" w:hAnsi="Times New Roman" w:cs="Times New Roman"/>
        </w:rPr>
      </w:pPr>
      <w:r>
        <w:rPr>
          <w:rFonts w:ascii="Times New Roman" w:hAnsi="Times New Roman" w:cs="Times New Roman"/>
        </w:rPr>
        <w:t xml:space="preserve">Wśród potencjałów regionu zidentyfikowano także znaczące nasłonecznienie (liczba dni słonecznych na terenie województwa lubelskiego jest jedną z największych w Polsce); potencjał jednostek naukowo-badawczych (w tym historia współpracy z przedsiębiorstwami okołogórniczymi w technologiach </w:t>
      </w:r>
      <w:proofErr w:type="spellStart"/>
      <w:r>
        <w:rPr>
          <w:rFonts w:ascii="Times New Roman" w:hAnsi="Times New Roman" w:cs="Times New Roman"/>
        </w:rPr>
        <w:t>prośrodowiskowych</w:t>
      </w:r>
      <w:proofErr w:type="spellEnd"/>
      <w:r>
        <w:rPr>
          <w:rFonts w:ascii="Times New Roman" w:hAnsi="Times New Roman" w:cs="Times New Roman"/>
        </w:rPr>
        <w:t xml:space="preserve">), potencjał przedsiębiorstw, które przy odpowiednim wsparciu mogą rozwinąć się lub rozszerzyć/przekwalifikować wachlarz usług czy produkcji w kierunkach </w:t>
      </w:r>
      <w:proofErr w:type="spellStart"/>
      <w:r>
        <w:rPr>
          <w:rFonts w:ascii="Times New Roman" w:hAnsi="Times New Roman" w:cs="Times New Roman"/>
        </w:rPr>
        <w:t>prośrodowiskowych</w:t>
      </w:r>
      <w:proofErr w:type="spellEnd"/>
      <w:r>
        <w:rPr>
          <w:rFonts w:ascii="Times New Roman" w:hAnsi="Times New Roman" w:cs="Times New Roman"/>
        </w:rPr>
        <w:t xml:space="preserve">. </w:t>
      </w: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DC75FA">
      <w:pPr>
        <w:pStyle w:val="Akapitzlist"/>
        <w:rPr>
          <w:rFonts w:ascii="Times New Roman" w:hAnsi="Times New Roman" w:cs="Times New Roman"/>
        </w:rPr>
      </w:pPr>
    </w:p>
    <w:p w:rsidR="00DC75FA" w:rsidRDefault="00887D84">
      <w:pPr>
        <w:pStyle w:val="Akapitzlist"/>
        <w:rPr>
          <w:rFonts w:ascii="Times New Roman" w:hAnsi="Times New Roman" w:cs="Times New Roman"/>
        </w:rPr>
      </w:pPr>
      <w:r>
        <w:br w:type="page"/>
      </w:r>
    </w:p>
    <w:p w:rsidR="00DC75FA" w:rsidRDefault="00887D84">
      <w:pPr>
        <w:pStyle w:val="Nagwek1"/>
        <w:numPr>
          <w:ilvl w:val="0"/>
          <w:numId w:val="7"/>
        </w:numPr>
        <w:jc w:val="both"/>
        <w:rPr>
          <w:rFonts w:ascii="Times New Roman" w:hAnsi="Times New Roman" w:cs="Times New Roman"/>
        </w:rPr>
      </w:pPr>
      <w:bookmarkStart w:id="18" w:name="_Toc105754696"/>
      <w:r>
        <w:rPr>
          <w:rFonts w:ascii="Times New Roman" w:hAnsi="Times New Roman" w:cs="Times New Roman"/>
        </w:rPr>
        <w:lastRenderedPageBreak/>
        <w:t>Model struktury funkcjonalno-przestrzennej obszaru ponadlokalnego oraz ustalenia i rekomendacje w zakresie kształtowania i prowadzenia polityki przestrzennej w gminach</w:t>
      </w:r>
      <w:bookmarkEnd w:id="18"/>
    </w:p>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Ze względu na charakter procesów kształtujących elementy struktury funkcjonalno-przestrzennej, uznaną zasadę zrównoważonego rozwoju, a także względy ekonomiczne koncentracji funkcjonalnej, model struktury funkcjonalno-przestrzennej województwa lubelskiego zaprezentowany w Strategii Rozwoju Województwa Lubelskiego do 2030 roku przyjmuje się jako trwałą podstawę wytyczania kierunków rozwoju społeczno-gospodarczego Obszaru Zielone Zagłębie.</w:t>
      </w:r>
    </w:p>
    <w:p w:rsidR="00DC75FA" w:rsidRDefault="00887D84">
      <w:pPr>
        <w:pStyle w:val="Legenda"/>
        <w:rPr>
          <w:rFonts w:ascii="Times New Roman" w:hAnsi="Times New Roman" w:cs="Times New Roman"/>
        </w:rPr>
      </w:pPr>
      <w:bookmarkStart w:id="19" w:name="_Toc75877421"/>
      <w:r>
        <w:rPr>
          <w:rFonts w:ascii="Times New Roman" w:hAnsi="Times New Roman" w:cs="Times New Roman"/>
        </w:rPr>
        <w:t xml:space="preserve">Mapa </w:t>
      </w:r>
      <w:r>
        <w:rPr>
          <w:rFonts w:ascii="Times New Roman" w:hAnsi="Times New Roman" w:cs="Times New Roman"/>
        </w:rPr>
        <w:fldChar w:fldCharType="begin"/>
      </w:r>
      <w:r>
        <w:rPr>
          <w:rFonts w:ascii="Times New Roman" w:hAnsi="Times New Roman" w:cs="Times New Roman"/>
        </w:rPr>
        <w:instrText>SEQ Mapa \* ARABIC</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Struktura funkcjonalno-przestrzenna województwa lubelskiego</w:t>
      </w:r>
      <w:bookmarkEnd w:id="19"/>
    </w:p>
    <w:p w:rsidR="00DC75FA" w:rsidRDefault="00887D84">
      <w:pPr>
        <w:jc w:val="center"/>
      </w:pPr>
      <w:r>
        <w:rPr>
          <w:noProof/>
          <w:lang w:eastAsia="pl-PL"/>
        </w:rPr>
        <w:drawing>
          <wp:inline distT="0" distB="0" distL="0" distR="0">
            <wp:extent cx="4763770" cy="5933440"/>
            <wp:effectExtent l="0" t="0" r="0" b="0"/>
            <wp:docPr id="17"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81"/>
                    <pic:cNvPicPr>
                      <a:picLocks noChangeAspect="1" noChangeArrowheads="1"/>
                    </pic:cNvPicPr>
                  </pic:nvPicPr>
                  <pic:blipFill>
                    <a:blip r:embed="rId25"/>
                    <a:stretch>
                      <a:fillRect/>
                    </a:stretch>
                  </pic:blipFill>
                  <pic:spPr bwMode="auto">
                    <a:xfrm>
                      <a:off x="0" y="0"/>
                      <a:ext cx="4763770" cy="5933440"/>
                    </a:xfrm>
                    <a:prstGeom prst="rect">
                      <a:avLst/>
                    </a:prstGeom>
                  </pic:spPr>
                </pic:pic>
              </a:graphicData>
            </a:graphic>
          </wp:inline>
        </w:drawing>
      </w:r>
    </w:p>
    <w:p w:rsidR="00DC75FA" w:rsidRDefault="00887D84">
      <w:pPr>
        <w:pStyle w:val="Legenda"/>
      </w:pPr>
      <w:r>
        <w:t>Źródło: Strategia Rozwoju Województwa Lubelskiego do 2030 roku, s. 70</w:t>
      </w:r>
    </w:p>
    <w:p w:rsidR="00DC75FA" w:rsidRDefault="00DC75FA"/>
    <w:p w:rsidR="00DC75FA" w:rsidRDefault="00887D84">
      <w:pPr>
        <w:jc w:val="both"/>
        <w:rPr>
          <w:rFonts w:ascii="Times New Roman" w:hAnsi="Times New Roman" w:cs="Times New Roman"/>
        </w:rPr>
      </w:pPr>
      <w:r>
        <w:rPr>
          <w:rFonts w:ascii="Times New Roman" w:hAnsi="Times New Roman" w:cs="Times New Roman"/>
        </w:rPr>
        <w:lastRenderedPageBreak/>
        <w:t>W nawiązaniu do kierunków zagospodarowania przestrzennego województwa lubelskiego, obszar współpracy ponadlokalnej obejmujący gminy Puchaczów, Cyców, Milejów, Ludwin i Urszulin w całości należy do obszaru funkcjonalnego Polesie. Żadna z gmin nie została wskazana jako gmina zagrożona marginalizacją.</w:t>
      </w:r>
    </w:p>
    <w:p w:rsidR="00DC75FA" w:rsidRDefault="00887D84">
      <w:pPr>
        <w:pStyle w:val="Legenda"/>
        <w:jc w:val="both"/>
        <w:rPr>
          <w:rFonts w:ascii="Times New Roman" w:hAnsi="Times New Roman" w:cs="Times New Roman"/>
        </w:rPr>
      </w:pPr>
      <w:bookmarkStart w:id="20" w:name="_Toc75877422"/>
      <w:r>
        <w:rPr>
          <w:rFonts w:ascii="Times New Roman" w:hAnsi="Times New Roman" w:cs="Times New Roman"/>
        </w:rPr>
        <w:t xml:space="preserve">Mapa </w:t>
      </w:r>
      <w:r>
        <w:rPr>
          <w:rFonts w:ascii="Times New Roman" w:hAnsi="Times New Roman" w:cs="Times New Roman"/>
        </w:rPr>
        <w:fldChar w:fldCharType="begin"/>
      </w:r>
      <w:r>
        <w:rPr>
          <w:rFonts w:ascii="Times New Roman" w:hAnsi="Times New Roman" w:cs="Times New Roman"/>
        </w:rPr>
        <w:instrText>SEQ Mapa \* ARABIC</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Położenie gmin Zielonego Zagłębia względem wyznaczonych w Strategii Rozwoju Województwa obszarów zagrożonych trwałą marginalizacją i OSI Polesie</w:t>
      </w:r>
      <w:bookmarkEnd w:id="20"/>
    </w:p>
    <w:p w:rsidR="00DC75FA" w:rsidRDefault="00887D84">
      <w:pPr>
        <w:pStyle w:val="Akapitzlist"/>
        <w:rPr>
          <w:rFonts w:ascii="Times New Roman" w:hAnsi="Times New Roman" w:cs="Times New Roman"/>
        </w:rPr>
      </w:pPr>
      <w:r>
        <w:rPr>
          <w:noProof/>
          <w:lang w:eastAsia="pl-PL"/>
        </w:rPr>
        <w:drawing>
          <wp:inline distT="0" distB="0" distL="0" distR="0">
            <wp:extent cx="2522855" cy="3284855"/>
            <wp:effectExtent l="0" t="0" r="0" b="0"/>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9"/>
                    <pic:cNvPicPr>
                      <a:picLocks noChangeAspect="1" noChangeArrowheads="1"/>
                    </pic:cNvPicPr>
                  </pic:nvPicPr>
                  <pic:blipFill>
                    <a:blip r:embed="rId26"/>
                    <a:stretch>
                      <a:fillRect/>
                    </a:stretch>
                  </pic:blipFill>
                  <pic:spPr bwMode="auto">
                    <a:xfrm>
                      <a:off x="0" y="0"/>
                      <a:ext cx="2522855" cy="3284855"/>
                    </a:xfrm>
                    <a:prstGeom prst="rect">
                      <a:avLst/>
                    </a:prstGeom>
                  </pic:spPr>
                </pic:pic>
              </a:graphicData>
            </a:graphic>
          </wp:inline>
        </w:drawing>
      </w:r>
      <w:r>
        <w:rPr>
          <w:noProof/>
          <w:lang w:eastAsia="pl-PL"/>
        </w:rPr>
        <w:drawing>
          <wp:inline distT="0" distB="0" distL="0" distR="0">
            <wp:extent cx="2574290" cy="3188970"/>
            <wp:effectExtent l="0" t="0" r="0" b="0"/>
            <wp:docPr id="1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3"/>
                    <pic:cNvPicPr>
                      <a:picLocks noChangeAspect="1" noChangeArrowheads="1"/>
                    </pic:cNvPicPr>
                  </pic:nvPicPr>
                  <pic:blipFill>
                    <a:blip r:embed="rId27"/>
                    <a:stretch>
                      <a:fillRect/>
                    </a:stretch>
                  </pic:blipFill>
                  <pic:spPr bwMode="auto">
                    <a:xfrm>
                      <a:off x="0" y="0"/>
                      <a:ext cx="2574290" cy="3188970"/>
                    </a:xfrm>
                    <a:prstGeom prst="rect">
                      <a:avLst/>
                    </a:prstGeom>
                  </pic:spPr>
                </pic:pic>
              </a:graphicData>
            </a:graphic>
          </wp:inline>
        </w:drawing>
      </w:r>
    </w:p>
    <w:p w:rsidR="00DC75FA" w:rsidRDefault="00887D84">
      <w:pPr>
        <w:pStyle w:val="Legenda"/>
      </w:pPr>
      <w:r>
        <w:t>Źródło: Strategia Rozwoju Województwa Lubelskiego do 2030 roku , Lublin marzec 2021</w:t>
      </w:r>
    </w:p>
    <w:p w:rsidR="00DC75FA" w:rsidRDefault="00887D84">
      <w:pPr>
        <w:jc w:val="both"/>
        <w:rPr>
          <w:rFonts w:ascii="Times New Roman" w:hAnsi="Times New Roman" w:cs="Times New Roman"/>
        </w:rPr>
      </w:pPr>
      <w:r>
        <w:rPr>
          <w:rFonts w:ascii="Times New Roman" w:hAnsi="Times New Roman" w:cs="Times New Roman"/>
        </w:rPr>
        <w:t>Struktura przestrzenna obszaru funkcjonalnego to system powiązanych ze sobą elementów zagospodarowania pełniących określone funkcje, które łącznie tworzą całość funkcjonalno-przestrzenną. Do podstawowych elementów struktury danego obszaru można zaliczyć zarówno elementy infrastruktury transportowej i technicznej, jak i tereny różniące się między sobą przeznaczeniem i użytkowaniem terenu oraz funkcją jaką pełnią w systemie struktur i powiązań. Elementami tej struktury mogą być zarówno poszczególne części tego obszaru, które tworzą złożone systemy (np. ośrodki osadnicze, węzły ekologiczne, tereny produkcji rolniczej), jak i sieci infrastrukturalne, które umożliwiają kontakty pomiędzy poszczególnymi owymi częściami. Struktura funkcjonalno-przestrzenna jest zatem systemem powiązanych ze sobą różnych elementów zagospodarowania, które w konsekwencji tworzą uzupełniający się wzajemnie organizm.</w:t>
      </w:r>
    </w:p>
    <w:p w:rsidR="00DC75FA" w:rsidRDefault="00887D84">
      <w:pPr>
        <w:jc w:val="both"/>
        <w:rPr>
          <w:rFonts w:ascii="Times New Roman" w:hAnsi="Times New Roman" w:cs="Times New Roman"/>
        </w:rPr>
      </w:pPr>
      <w:r>
        <w:rPr>
          <w:rFonts w:ascii="Times New Roman" w:hAnsi="Times New Roman" w:cs="Times New Roman"/>
        </w:rPr>
        <w:t>Model struktury funkcjonalno-przestrzennej obszaru Zielonego Zagłębia uwzględnia zasadę ciągłości realizacji polityk społeczno-gospodarczych i przestrzennych oraz stan zagospodarowania, nie jest on planem zagospodarowania, a jedynie schematem obrazującym sposób funkcjonowania obszaru i przestrzenne odniesienie dla polityk rozwojowych. Na strukturę funkcjonalno-przestrzenną obszaru składają się elementy, które w zależności od ich fizjonomii, budują strefy funkcjonalne będące obszarami o zbliżonych bądź powiązanych funkcjach i kierunkach rozwoju, które ukształtowały się w wyniku rozwoju obszaru i działalności człowieka. W strefach tych zakłada się zróżnicowane kierunki i działania w ramach polityk rozwoju społeczno-gospodarczego i przestrzennego. Głównymi celami kształtowanego modelu struktury są:</w:t>
      </w:r>
    </w:p>
    <w:p w:rsidR="00DC75FA" w:rsidRDefault="00887D84">
      <w:pPr>
        <w:jc w:val="both"/>
        <w:rPr>
          <w:rFonts w:ascii="Times New Roman" w:hAnsi="Times New Roman" w:cs="Times New Roman"/>
        </w:rPr>
      </w:pPr>
      <w:r>
        <w:rPr>
          <w:rFonts w:ascii="Times New Roman" w:hAnsi="Times New Roman" w:cs="Times New Roman"/>
        </w:rPr>
        <w:t>▪ zapewnienie warunków do efektywnego działania podmiotów gospodarczych, głównie przez rozbudowę systemów infrastruktury technicznej i społecznej,</w:t>
      </w:r>
    </w:p>
    <w:p w:rsidR="00DC75FA" w:rsidRDefault="00887D84">
      <w:pPr>
        <w:jc w:val="both"/>
        <w:rPr>
          <w:rFonts w:ascii="Times New Roman" w:hAnsi="Times New Roman" w:cs="Times New Roman"/>
        </w:rPr>
      </w:pPr>
      <w:r>
        <w:rPr>
          <w:rFonts w:ascii="Times New Roman" w:hAnsi="Times New Roman" w:cs="Times New Roman"/>
        </w:rPr>
        <w:lastRenderedPageBreak/>
        <w:t>▪ utrzymanie prawidłowej struktury użytkowania terenów, tj. zachowanie właściwych proporcji między różnymi rodzajami tego użytkowania, zarówno w skali lokalnej, jak i ponadlokalnej,</w:t>
      </w:r>
    </w:p>
    <w:p w:rsidR="00DC75FA" w:rsidRDefault="00887D84">
      <w:pPr>
        <w:jc w:val="both"/>
        <w:rPr>
          <w:rFonts w:ascii="Times New Roman" w:hAnsi="Times New Roman" w:cs="Times New Roman"/>
        </w:rPr>
      </w:pPr>
      <w:r>
        <w:rPr>
          <w:rFonts w:ascii="Times New Roman" w:hAnsi="Times New Roman" w:cs="Times New Roman"/>
        </w:rPr>
        <w:t>▪ alokacja funkcji społeczno-gospodarczych i poszczególnych inwestycji z uwzględnieniem z jednej strony interesów podmiotów gospodarczych, a z drugiej –nadrzędnych interesów społecznych,</w:t>
      </w:r>
    </w:p>
    <w:p w:rsidR="00DC75FA" w:rsidRDefault="00887D84">
      <w:pPr>
        <w:jc w:val="both"/>
        <w:rPr>
          <w:rFonts w:ascii="Times New Roman" w:hAnsi="Times New Roman" w:cs="Times New Roman"/>
        </w:rPr>
      </w:pPr>
      <w:r>
        <w:rPr>
          <w:rFonts w:ascii="Times New Roman" w:hAnsi="Times New Roman" w:cs="Times New Roman"/>
        </w:rPr>
        <w:t>▪ kontrola wykorzystania przestrzeni pod kątem jej efektywności, przy przestrzeganiu warunków racjonalnej eksploatacji zasobów naturalnych i antropogenicznych oraz zachowania walorów środowiska przyrodniczego i kulturowego.</w:t>
      </w:r>
    </w:p>
    <w:p w:rsidR="00DC75FA" w:rsidRDefault="00887D84">
      <w:pPr>
        <w:jc w:val="both"/>
        <w:rPr>
          <w:rFonts w:ascii="Times New Roman" w:hAnsi="Times New Roman" w:cs="Times New Roman"/>
        </w:rPr>
      </w:pPr>
      <w:r>
        <w:rPr>
          <w:rFonts w:ascii="Times New Roman" w:hAnsi="Times New Roman" w:cs="Times New Roman"/>
        </w:rPr>
        <w:t>Realizacja powyższych celów ma stworzyć warunki do racjonalnego organizowania przestrzeni i egzekwowania ładu przestrzennego. Mają również wyeliminować lub minimalizować konflikty przestrzenne powstające między funkcjami społeczno-gospodarczymi i poszczególnymi podmiotami gospodarczymi na tle wykorzystywania ograniczonej przestrzeni i jej zasobów.</w:t>
      </w:r>
    </w:p>
    <w:p w:rsidR="00DC75FA" w:rsidRDefault="00887D84">
      <w:pPr>
        <w:spacing w:after="0"/>
        <w:jc w:val="both"/>
        <w:rPr>
          <w:rFonts w:ascii="Times New Roman" w:hAnsi="Times New Roman" w:cs="Times New Roman"/>
        </w:rPr>
      </w:pPr>
      <w:r>
        <w:rPr>
          <w:rFonts w:ascii="Times New Roman" w:hAnsi="Times New Roman" w:cs="Times New Roman"/>
        </w:rPr>
        <w:t xml:space="preserve">W strukturze funkcjonalno-przestrzennej  obszaru Zielonego Zagłębia wyróżnia się: </w:t>
      </w:r>
    </w:p>
    <w:p w:rsidR="00DC75FA" w:rsidRDefault="00887D84">
      <w:pPr>
        <w:spacing w:after="0"/>
        <w:jc w:val="both"/>
        <w:rPr>
          <w:rFonts w:ascii="Times New Roman" w:hAnsi="Times New Roman" w:cs="Times New Roman"/>
        </w:rPr>
      </w:pPr>
      <w:r>
        <w:rPr>
          <w:rFonts w:ascii="Times New Roman" w:hAnsi="Times New Roman" w:cs="Times New Roman"/>
        </w:rPr>
        <w:t xml:space="preserve">▪ elementy i strefy wzmacniania i rozwoju funkcji społeczno-gospodarczych, tereny koncentracji aktywności społeczno-gospodarczej związane z podstawowymi elementami sieci osadniczej, w których zlokalizowane są przedsiębiorstwa, stanowiącymi ogniwa obsługi transportu lub posiadającymi zorganizowane tereny dla rozwoju przedsiębiorczości pozarolniczej, w tym: </w:t>
      </w:r>
    </w:p>
    <w:p w:rsidR="00DC75FA" w:rsidRDefault="00887D84">
      <w:pPr>
        <w:spacing w:after="0"/>
        <w:jc w:val="both"/>
        <w:rPr>
          <w:rFonts w:ascii="Times New Roman" w:hAnsi="Times New Roman" w:cs="Times New Roman"/>
        </w:rPr>
      </w:pPr>
      <w:r>
        <w:rPr>
          <w:rFonts w:ascii="Times New Roman" w:hAnsi="Times New Roman" w:cs="Times New Roman"/>
        </w:rPr>
        <w:t>-tereny kopalni węgla kamiennego Lubelski Węgiel Bogdanka</w:t>
      </w:r>
    </w:p>
    <w:p w:rsidR="00DC75FA" w:rsidRDefault="00887D84">
      <w:pPr>
        <w:spacing w:after="0"/>
        <w:jc w:val="both"/>
        <w:rPr>
          <w:rFonts w:ascii="Times New Roman" w:hAnsi="Times New Roman" w:cs="Times New Roman"/>
        </w:rPr>
      </w:pPr>
      <w:r>
        <w:rPr>
          <w:rFonts w:ascii="Times New Roman" w:hAnsi="Times New Roman" w:cs="Times New Roman"/>
        </w:rPr>
        <w:t xml:space="preserve">–miejscowości gminne –lokalne ośrodki obsługi wskazane do koncentracji urbanizacji (w tym rozwoju gospodarczego) w zorganizowanych układach przestrzennych, </w:t>
      </w:r>
    </w:p>
    <w:p w:rsidR="00DC75FA" w:rsidRDefault="00887D84">
      <w:pPr>
        <w:spacing w:after="0"/>
        <w:jc w:val="both"/>
        <w:rPr>
          <w:rFonts w:ascii="Times New Roman" w:hAnsi="Times New Roman" w:cs="Times New Roman"/>
        </w:rPr>
      </w:pPr>
      <w:r>
        <w:rPr>
          <w:rFonts w:ascii="Times New Roman" w:hAnsi="Times New Roman" w:cs="Times New Roman"/>
        </w:rPr>
        <w:t>–pozostałe miejscowości –sołectwa jako elementarne ośrodki obsługi,</w:t>
      </w:r>
    </w:p>
    <w:p w:rsidR="00DC75FA" w:rsidRDefault="00887D84">
      <w:pPr>
        <w:spacing w:after="0"/>
        <w:jc w:val="both"/>
        <w:rPr>
          <w:rFonts w:ascii="Times New Roman" w:hAnsi="Times New Roman" w:cs="Times New Roman"/>
        </w:rPr>
      </w:pPr>
      <w:r>
        <w:rPr>
          <w:rFonts w:ascii="Times New Roman" w:hAnsi="Times New Roman" w:cs="Times New Roman"/>
        </w:rPr>
        <w:t>–tereny zwartej zabudowy mieszkaniowej –obszary kontynuacji i uzupełniania zabudowy,</w:t>
      </w:r>
    </w:p>
    <w:p w:rsidR="00DC75FA" w:rsidRDefault="00887D84">
      <w:pPr>
        <w:spacing w:after="0"/>
        <w:jc w:val="both"/>
        <w:rPr>
          <w:rFonts w:ascii="Times New Roman" w:hAnsi="Times New Roman" w:cs="Times New Roman"/>
        </w:rPr>
      </w:pPr>
      <w:r>
        <w:rPr>
          <w:rFonts w:ascii="Times New Roman" w:hAnsi="Times New Roman" w:cs="Times New Roman"/>
        </w:rPr>
        <w:t>–strefy gospodarcze oraz strefy przedsiębiorczości –tereny rozwoju przedsiębiorczości i koncentracji zainwestowania w wyznaczonych strefach aktywności gospodarczej,</w:t>
      </w:r>
    </w:p>
    <w:p w:rsidR="00DC75FA" w:rsidRDefault="00DC75FA">
      <w:pPr>
        <w:spacing w:after="0"/>
        <w:jc w:val="both"/>
        <w:rPr>
          <w:rFonts w:ascii="Times New Roman" w:hAnsi="Times New Roman" w:cs="Times New Roman"/>
        </w:rPr>
      </w:pPr>
    </w:p>
    <w:p w:rsidR="00DC75FA" w:rsidRDefault="00887D84">
      <w:pPr>
        <w:pStyle w:val="Legenda"/>
        <w:rPr>
          <w:rFonts w:ascii="Times New Roman" w:hAnsi="Times New Roman" w:cs="Times New Roman"/>
          <w:sz w:val="22"/>
          <w:szCs w:val="22"/>
        </w:rPr>
      </w:pPr>
      <w:bookmarkStart w:id="21" w:name="_Toc75877423"/>
      <w:r>
        <w:rPr>
          <w:rFonts w:ascii="Times New Roman" w:hAnsi="Times New Roman" w:cs="Times New Roman"/>
          <w:sz w:val="22"/>
          <w:szCs w:val="22"/>
        </w:rPr>
        <w:t xml:space="preserve">Mapa </w:t>
      </w:r>
      <w:r>
        <w:rPr>
          <w:rFonts w:ascii="Times New Roman" w:hAnsi="Times New Roman" w:cs="Times New Roman"/>
          <w:sz w:val="22"/>
          <w:szCs w:val="22"/>
        </w:rPr>
        <w:fldChar w:fldCharType="begin"/>
      </w:r>
      <w:r>
        <w:rPr>
          <w:rFonts w:ascii="Times New Roman" w:hAnsi="Times New Roman" w:cs="Times New Roman"/>
          <w:sz w:val="22"/>
          <w:szCs w:val="22"/>
        </w:rPr>
        <w:instrText>SEQ Mapa \* ARABIC</w:instrText>
      </w:r>
      <w:r>
        <w:rPr>
          <w:rFonts w:ascii="Times New Roman" w:hAnsi="Times New Roman" w:cs="Times New Roman"/>
          <w:sz w:val="22"/>
          <w:szCs w:val="22"/>
        </w:rPr>
        <w:fldChar w:fldCharType="separate"/>
      </w:r>
      <w:r>
        <w:rPr>
          <w:rFonts w:ascii="Times New Roman" w:hAnsi="Times New Roman" w:cs="Times New Roman"/>
          <w:sz w:val="22"/>
          <w:szCs w:val="22"/>
        </w:rPr>
        <w:t>4</w:t>
      </w:r>
      <w:r>
        <w:rPr>
          <w:rFonts w:ascii="Times New Roman" w:hAnsi="Times New Roman" w:cs="Times New Roman"/>
          <w:sz w:val="22"/>
          <w:szCs w:val="22"/>
        </w:rPr>
        <w:fldChar w:fldCharType="end"/>
      </w:r>
      <w:r>
        <w:rPr>
          <w:rFonts w:ascii="Times New Roman" w:hAnsi="Times New Roman" w:cs="Times New Roman"/>
          <w:sz w:val="22"/>
          <w:szCs w:val="22"/>
        </w:rPr>
        <w:t>: Elementy i strefy wzmacniania i rozwoju funkcji społeczno-gospodarczych</w:t>
      </w:r>
      <w:bookmarkEnd w:id="21"/>
    </w:p>
    <w:p w:rsidR="00DC75FA" w:rsidRDefault="00887D84">
      <w:pPr>
        <w:spacing w:after="0"/>
        <w:jc w:val="center"/>
        <w:rPr>
          <w:rFonts w:ascii="Times New Roman" w:hAnsi="Times New Roman" w:cs="Times New Roman"/>
        </w:rPr>
      </w:pPr>
      <w:r>
        <w:rPr>
          <w:noProof/>
          <w:lang w:eastAsia="pl-PL"/>
        </w:rPr>
        <w:drawing>
          <wp:inline distT="0" distB="0" distL="0" distR="0">
            <wp:extent cx="4222750" cy="3848100"/>
            <wp:effectExtent l="0" t="0" r="0" b="0"/>
            <wp:docPr id="2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15"/>
                    <pic:cNvPicPr>
                      <a:picLocks noChangeAspect="1" noChangeArrowheads="1"/>
                    </pic:cNvPicPr>
                  </pic:nvPicPr>
                  <pic:blipFill>
                    <a:blip r:embed="rId28"/>
                    <a:stretch>
                      <a:fillRect/>
                    </a:stretch>
                  </pic:blipFill>
                  <pic:spPr bwMode="auto">
                    <a:xfrm>
                      <a:off x="0" y="0"/>
                      <a:ext cx="4222750" cy="3848100"/>
                    </a:xfrm>
                    <a:prstGeom prst="rect">
                      <a:avLst/>
                    </a:prstGeom>
                  </pic:spPr>
                </pic:pic>
              </a:graphicData>
            </a:graphic>
          </wp:inline>
        </w:drawing>
      </w:r>
    </w:p>
    <w:p w:rsidR="00DC75FA" w:rsidRDefault="00887D84">
      <w:pPr>
        <w:pStyle w:val="Legenda"/>
      </w:pPr>
      <w:r>
        <w:t>Źródło: opracowanie własne</w:t>
      </w:r>
    </w:p>
    <w:p w:rsidR="00DC75FA" w:rsidRDefault="00887D84">
      <w:pPr>
        <w:spacing w:after="0"/>
        <w:jc w:val="both"/>
        <w:rPr>
          <w:rFonts w:ascii="Times New Roman" w:hAnsi="Times New Roman" w:cs="Times New Roman"/>
        </w:rPr>
      </w:pPr>
      <w:r>
        <w:rPr>
          <w:rFonts w:ascii="Times New Roman" w:hAnsi="Times New Roman" w:cs="Times New Roman"/>
        </w:rPr>
        <w:lastRenderedPageBreak/>
        <w:t>▪ elementy i strefy o wiodącej funkcji przyrodniczej i ochronnej, w obszarze których obowiązuje podporządkowanie wszelkiej działalności utrzymaniu wartości przyrodniczych obszaru oraz ciągłości powiązań ekologicznych, w tym:</w:t>
      </w:r>
    </w:p>
    <w:p w:rsidR="00DC75FA" w:rsidRDefault="00887D84">
      <w:pPr>
        <w:spacing w:after="0"/>
        <w:jc w:val="both"/>
        <w:rPr>
          <w:rFonts w:ascii="Times New Roman" w:hAnsi="Times New Roman" w:cs="Times New Roman"/>
        </w:rPr>
      </w:pPr>
      <w:r>
        <w:rPr>
          <w:rFonts w:ascii="Times New Roman" w:hAnsi="Times New Roman" w:cs="Times New Roman"/>
        </w:rPr>
        <w:t xml:space="preserve">–korytarze ekologiczne zapewniające łączność pomiędzy węzłami układu naturalnego </w:t>
      </w:r>
    </w:p>
    <w:p w:rsidR="00DC75FA" w:rsidRDefault="00887D84">
      <w:pPr>
        <w:spacing w:after="0"/>
        <w:jc w:val="both"/>
        <w:rPr>
          <w:rFonts w:ascii="Times New Roman" w:hAnsi="Times New Roman" w:cs="Times New Roman"/>
        </w:rPr>
      </w:pPr>
      <w:r>
        <w:rPr>
          <w:rFonts w:ascii="Times New Roman" w:hAnsi="Times New Roman" w:cs="Times New Roman"/>
        </w:rPr>
        <w:t xml:space="preserve">–węzły ekologiczne stanowiące obszary węzłowe regionalnej i lokalnej sieci ekologicznej –miejsca o warunkach naturalnych, sprzyjających egzystencji gatunków rzadkich lub zagrożonych wyginięciem, –ekosystemy leśne cechujące się dużym stopniem naturalności, </w:t>
      </w:r>
    </w:p>
    <w:p w:rsidR="00DC75FA" w:rsidRDefault="00887D84">
      <w:pPr>
        <w:spacing w:after="0"/>
        <w:jc w:val="both"/>
        <w:rPr>
          <w:rFonts w:ascii="Times New Roman" w:hAnsi="Times New Roman" w:cs="Times New Roman"/>
        </w:rPr>
      </w:pPr>
      <w:r>
        <w:rPr>
          <w:rFonts w:ascii="Times New Roman" w:hAnsi="Times New Roman" w:cs="Times New Roman"/>
        </w:rPr>
        <w:t>–rzeki i zbiorniki stanowiące uzupełnienie sieci korytarzy ekologicznych,</w:t>
      </w:r>
    </w:p>
    <w:p w:rsidR="00DC75FA" w:rsidRDefault="00DC75FA">
      <w:pPr>
        <w:spacing w:after="0"/>
        <w:jc w:val="both"/>
        <w:rPr>
          <w:rFonts w:ascii="Times New Roman" w:hAnsi="Times New Roman" w:cs="Times New Roman"/>
        </w:rPr>
      </w:pPr>
    </w:p>
    <w:p w:rsidR="00DC75FA" w:rsidRDefault="00887D84">
      <w:pPr>
        <w:pStyle w:val="Legenda"/>
        <w:rPr>
          <w:rFonts w:ascii="Times New Roman" w:hAnsi="Times New Roman" w:cs="Times New Roman"/>
          <w:sz w:val="22"/>
          <w:szCs w:val="22"/>
        </w:rPr>
      </w:pPr>
      <w:bookmarkStart w:id="22" w:name="_Toc75877424"/>
      <w:r>
        <w:rPr>
          <w:rFonts w:ascii="Times New Roman" w:hAnsi="Times New Roman" w:cs="Times New Roman"/>
          <w:sz w:val="22"/>
          <w:szCs w:val="22"/>
        </w:rPr>
        <w:t xml:space="preserve">Mapa </w:t>
      </w:r>
      <w:r>
        <w:rPr>
          <w:rFonts w:ascii="Times New Roman" w:hAnsi="Times New Roman" w:cs="Times New Roman"/>
          <w:sz w:val="22"/>
          <w:szCs w:val="22"/>
        </w:rPr>
        <w:fldChar w:fldCharType="begin"/>
      </w:r>
      <w:r>
        <w:rPr>
          <w:rFonts w:ascii="Times New Roman" w:hAnsi="Times New Roman" w:cs="Times New Roman"/>
          <w:sz w:val="22"/>
          <w:szCs w:val="22"/>
        </w:rPr>
        <w:instrText>SEQ Mapa \* ARABIC</w:instrText>
      </w:r>
      <w:r>
        <w:rPr>
          <w:rFonts w:ascii="Times New Roman" w:hAnsi="Times New Roman" w:cs="Times New Roman"/>
          <w:sz w:val="22"/>
          <w:szCs w:val="22"/>
        </w:rPr>
        <w:fldChar w:fldCharType="separate"/>
      </w:r>
      <w:r>
        <w:rPr>
          <w:rFonts w:ascii="Times New Roman" w:hAnsi="Times New Roman" w:cs="Times New Roman"/>
          <w:sz w:val="22"/>
          <w:szCs w:val="22"/>
        </w:rPr>
        <w:t>5</w:t>
      </w:r>
      <w:r>
        <w:rPr>
          <w:rFonts w:ascii="Times New Roman" w:hAnsi="Times New Roman" w:cs="Times New Roman"/>
          <w:sz w:val="22"/>
          <w:szCs w:val="22"/>
        </w:rPr>
        <w:fldChar w:fldCharType="end"/>
      </w:r>
      <w:r>
        <w:rPr>
          <w:rFonts w:ascii="Times New Roman" w:hAnsi="Times New Roman" w:cs="Times New Roman"/>
          <w:sz w:val="22"/>
          <w:szCs w:val="22"/>
        </w:rPr>
        <w:t>: Elementy i strefy o wiodącej funkcji przyrodniczej i ochronnej</w:t>
      </w:r>
      <w:bookmarkEnd w:id="22"/>
    </w:p>
    <w:p w:rsidR="00DC75FA" w:rsidRDefault="00887D84">
      <w:pPr>
        <w:jc w:val="center"/>
        <w:rPr>
          <w:rFonts w:ascii="Times New Roman" w:hAnsi="Times New Roman" w:cs="Times New Roman"/>
        </w:rPr>
      </w:pPr>
      <w:r>
        <w:rPr>
          <w:noProof/>
          <w:lang w:eastAsia="pl-PL"/>
        </w:rPr>
        <w:drawing>
          <wp:inline distT="0" distB="0" distL="0" distR="0">
            <wp:extent cx="4292600" cy="3909060"/>
            <wp:effectExtent l="0" t="0" r="0" b="0"/>
            <wp:docPr id="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
                    <pic:cNvPicPr>
                      <a:picLocks noChangeAspect="1" noChangeArrowheads="1"/>
                    </pic:cNvPicPr>
                  </pic:nvPicPr>
                  <pic:blipFill>
                    <a:blip r:embed="rId29"/>
                    <a:stretch>
                      <a:fillRect/>
                    </a:stretch>
                  </pic:blipFill>
                  <pic:spPr bwMode="auto">
                    <a:xfrm>
                      <a:off x="0" y="0"/>
                      <a:ext cx="4292600" cy="3909060"/>
                    </a:xfrm>
                    <a:prstGeom prst="rect">
                      <a:avLst/>
                    </a:prstGeom>
                  </pic:spPr>
                </pic:pic>
              </a:graphicData>
            </a:graphic>
          </wp:inline>
        </w:drawing>
      </w:r>
    </w:p>
    <w:p w:rsidR="00DC75FA" w:rsidRDefault="00887D84">
      <w:pPr>
        <w:pStyle w:val="Legenda"/>
      </w:pPr>
      <w:r>
        <w:t>Źródło: opracowanie własne</w:t>
      </w:r>
      <w:bookmarkStart w:id="23" w:name="_Hlk75808538"/>
      <w:bookmarkEnd w:id="23"/>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▪elementy infrastruktury kształtujące sieć powiązań wewnętrznych i zewnętrznych, w odniesieniu do których zakłada się ich rozwój, przede wszystkim infrastruktury transportowej zapewniającej sprawność powiązań komunikacyjnych, minimalizującej zagrożenia bezpieczeństwa publicznego oraz kolizje z elementami regionalnej sieci ekologicznej, w tym:</w:t>
      </w:r>
    </w:p>
    <w:p w:rsidR="00DC75FA" w:rsidRDefault="00887D84">
      <w:pPr>
        <w:spacing w:after="0"/>
        <w:jc w:val="both"/>
        <w:rPr>
          <w:rFonts w:ascii="Times New Roman" w:hAnsi="Times New Roman" w:cs="Times New Roman"/>
        </w:rPr>
      </w:pPr>
      <w:r>
        <w:rPr>
          <w:rFonts w:ascii="Times New Roman" w:hAnsi="Times New Roman" w:cs="Times New Roman"/>
        </w:rPr>
        <w:t>–drogi krajowe i wojewódzkie oraz linie kolejowe –realizujące zewnętrzne powiązania transportowe obszaru i stanowiące główny szkielet sieci transportowej,</w:t>
      </w:r>
    </w:p>
    <w:p w:rsidR="00DC75FA" w:rsidRDefault="00887D84">
      <w:pPr>
        <w:spacing w:after="0"/>
        <w:jc w:val="both"/>
        <w:rPr>
          <w:rFonts w:ascii="Times New Roman" w:hAnsi="Times New Roman" w:cs="Times New Roman"/>
        </w:rPr>
      </w:pPr>
      <w:r>
        <w:rPr>
          <w:rFonts w:ascii="Times New Roman" w:hAnsi="Times New Roman" w:cs="Times New Roman"/>
        </w:rPr>
        <w:t>–drogi powiatowe i gminne –realizujące wewnętrzne powiązania transportowe, uzupełniające sieć dróg krajowych i wojewódzkich, w odniesieniu do których zakłada się ich dalszy rozwój w wymiarze jakościowym i ilościowym,</w:t>
      </w:r>
    </w:p>
    <w:p w:rsidR="00DC75FA" w:rsidRDefault="00887D84">
      <w:pPr>
        <w:spacing w:after="0"/>
        <w:jc w:val="both"/>
        <w:rPr>
          <w:rFonts w:ascii="Times New Roman" w:hAnsi="Times New Roman" w:cs="Times New Roman"/>
        </w:rPr>
      </w:pPr>
      <w:r>
        <w:rPr>
          <w:rFonts w:ascii="Times New Roman" w:hAnsi="Times New Roman" w:cs="Times New Roman"/>
        </w:rPr>
        <w:t>–system elektroenergetyczny –linie elektroenergetyczne NN i WN oraz stacje transformatorowe / GPZ, decydujących o bezpieczeństwie energetycznym obszaru,</w:t>
      </w:r>
    </w:p>
    <w:p w:rsidR="00DC75FA" w:rsidRDefault="00DC75FA">
      <w:pPr>
        <w:spacing w:after="0"/>
        <w:jc w:val="both"/>
        <w:rPr>
          <w:rFonts w:ascii="Times New Roman" w:hAnsi="Times New Roman" w:cs="Times New Roman"/>
        </w:rPr>
      </w:pPr>
    </w:p>
    <w:p w:rsidR="00DC75FA" w:rsidRDefault="00DC75FA">
      <w:pPr>
        <w:spacing w:after="0"/>
        <w:jc w:val="both"/>
        <w:rPr>
          <w:rFonts w:ascii="Times New Roman" w:hAnsi="Times New Roman" w:cs="Times New Roman"/>
        </w:rPr>
      </w:pPr>
    </w:p>
    <w:p w:rsidR="00DC75FA" w:rsidRDefault="00DC75FA">
      <w:pPr>
        <w:spacing w:after="0"/>
        <w:jc w:val="both"/>
        <w:rPr>
          <w:rFonts w:ascii="Times New Roman" w:hAnsi="Times New Roman" w:cs="Times New Roman"/>
        </w:rPr>
      </w:pPr>
    </w:p>
    <w:p w:rsidR="00DC75FA" w:rsidRDefault="00DC75FA">
      <w:pPr>
        <w:spacing w:after="0"/>
        <w:jc w:val="both"/>
        <w:rPr>
          <w:rFonts w:ascii="Times New Roman" w:hAnsi="Times New Roman" w:cs="Times New Roman"/>
        </w:rPr>
      </w:pPr>
    </w:p>
    <w:p w:rsidR="00DC75FA" w:rsidRDefault="00887D84">
      <w:pPr>
        <w:pStyle w:val="Legenda"/>
        <w:rPr>
          <w:rFonts w:ascii="Times New Roman" w:hAnsi="Times New Roman" w:cs="Times New Roman"/>
          <w:sz w:val="22"/>
          <w:szCs w:val="22"/>
        </w:rPr>
      </w:pPr>
      <w:bookmarkStart w:id="24" w:name="_Toc75877425"/>
      <w:r>
        <w:rPr>
          <w:rFonts w:ascii="Times New Roman" w:hAnsi="Times New Roman" w:cs="Times New Roman"/>
          <w:sz w:val="22"/>
          <w:szCs w:val="22"/>
        </w:rPr>
        <w:t xml:space="preserve">Mapa </w:t>
      </w:r>
      <w:r>
        <w:rPr>
          <w:rFonts w:ascii="Times New Roman" w:hAnsi="Times New Roman" w:cs="Times New Roman"/>
          <w:sz w:val="22"/>
          <w:szCs w:val="22"/>
        </w:rPr>
        <w:fldChar w:fldCharType="begin"/>
      </w:r>
      <w:r>
        <w:rPr>
          <w:rFonts w:ascii="Times New Roman" w:hAnsi="Times New Roman" w:cs="Times New Roman"/>
          <w:sz w:val="22"/>
          <w:szCs w:val="22"/>
        </w:rPr>
        <w:instrText>SEQ Mapa \* ARABIC</w:instrText>
      </w:r>
      <w:r>
        <w:rPr>
          <w:rFonts w:ascii="Times New Roman" w:hAnsi="Times New Roman" w:cs="Times New Roman"/>
          <w:sz w:val="22"/>
          <w:szCs w:val="22"/>
        </w:rPr>
        <w:fldChar w:fldCharType="separate"/>
      </w:r>
      <w:r>
        <w:rPr>
          <w:rFonts w:ascii="Times New Roman" w:hAnsi="Times New Roman" w:cs="Times New Roman"/>
          <w:sz w:val="22"/>
          <w:szCs w:val="22"/>
        </w:rPr>
        <w:t>6</w:t>
      </w:r>
      <w:r>
        <w:rPr>
          <w:rFonts w:ascii="Times New Roman" w:hAnsi="Times New Roman" w:cs="Times New Roman"/>
          <w:sz w:val="22"/>
          <w:szCs w:val="22"/>
        </w:rPr>
        <w:fldChar w:fldCharType="end"/>
      </w:r>
      <w:r>
        <w:rPr>
          <w:rFonts w:ascii="Times New Roman" w:hAnsi="Times New Roman" w:cs="Times New Roman"/>
          <w:sz w:val="22"/>
          <w:szCs w:val="22"/>
        </w:rPr>
        <w:t>: Elementy kształtujące sieć transportową.</w:t>
      </w:r>
      <w:bookmarkEnd w:id="24"/>
    </w:p>
    <w:p w:rsidR="00DC75FA" w:rsidRDefault="00887D84">
      <w:pPr>
        <w:jc w:val="center"/>
        <w:rPr>
          <w:rFonts w:ascii="Times New Roman" w:hAnsi="Times New Roman" w:cs="Times New Roman"/>
        </w:rPr>
      </w:pPr>
      <w:r>
        <w:rPr>
          <w:noProof/>
          <w:lang w:eastAsia="pl-PL"/>
        </w:rPr>
        <w:drawing>
          <wp:inline distT="0" distB="0" distL="0" distR="0">
            <wp:extent cx="3667125" cy="3130550"/>
            <wp:effectExtent l="0" t="0" r="0" b="0"/>
            <wp:docPr id="2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12"/>
                    <pic:cNvPicPr>
                      <a:picLocks noChangeAspect="1" noChangeArrowheads="1"/>
                    </pic:cNvPicPr>
                  </pic:nvPicPr>
                  <pic:blipFill>
                    <a:blip r:embed="rId30"/>
                    <a:stretch>
                      <a:fillRect/>
                    </a:stretch>
                  </pic:blipFill>
                  <pic:spPr bwMode="auto">
                    <a:xfrm>
                      <a:off x="0" y="0"/>
                      <a:ext cx="3667125" cy="3130550"/>
                    </a:xfrm>
                    <a:prstGeom prst="rect">
                      <a:avLst/>
                    </a:prstGeom>
                  </pic:spPr>
                </pic:pic>
              </a:graphicData>
            </a:graphic>
          </wp:inline>
        </w:drawing>
      </w:r>
    </w:p>
    <w:p w:rsidR="00DC75FA" w:rsidRDefault="00887D84">
      <w:pPr>
        <w:pStyle w:val="Legenda"/>
      </w:pPr>
      <w:r>
        <w:t>Źródło: opracowanie własne</w:t>
      </w:r>
      <w:bookmarkStart w:id="25" w:name="_Hlk75877198"/>
      <w:bookmarkEnd w:id="25"/>
    </w:p>
    <w:p w:rsidR="00DC75FA" w:rsidRDefault="00887D84">
      <w:pPr>
        <w:spacing w:after="0"/>
        <w:jc w:val="both"/>
        <w:rPr>
          <w:rFonts w:ascii="Times New Roman" w:hAnsi="Times New Roman" w:cs="Times New Roman"/>
        </w:rPr>
      </w:pPr>
      <w:r>
        <w:rPr>
          <w:rFonts w:ascii="Times New Roman" w:hAnsi="Times New Roman" w:cs="Times New Roman"/>
        </w:rPr>
        <w:t>▪strefę rolniczej przestrzeni produkcyjnej, która ze względu na mało korzystne warunki przyrodnicze dla intensywnej roślinnej produkcji rolnej predestynowana jest do rozwoju produkcji hodowlanej, dla której wskazuje się zachowanie naturalnych wartości zasobów rolniczej przestrzeni produkcyjnej oraz zrównoważony rozwój gospodarki rolnej i funkcji towarzyszących.</w:t>
      </w:r>
    </w:p>
    <w:p w:rsidR="00DC75FA" w:rsidRDefault="00DC75FA">
      <w:pPr>
        <w:spacing w:after="0"/>
        <w:jc w:val="both"/>
        <w:rPr>
          <w:rFonts w:ascii="Times New Roman" w:hAnsi="Times New Roman" w:cs="Times New Roman"/>
        </w:rPr>
      </w:pPr>
    </w:p>
    <w:p w:rsidR="00DC75FA" w:rsidRDefault="00887D84">
      <w:pPr>
        <w:pStyle w:val="Legenda"/>
        <w:rPr>
          <w:rFonts w:ascii="Times New Roman" w:hAnsi="Times New Roman" w:cs="Times New Roman"/>
          <w:sz w:val="22"/>
          <w:szCs w:val="22"/>
        </w:rPr>
      </w:pPr>
      <w:bookmarkStart w:id="26" w:name="_Toc75877426"/>
      <w:r>
        <w:rPr>
          <w:rFonts w:ascii="Times New Roman" w:hAnsi="Times New Roman" w:cs="Times New Roman"/>
          <w:sz w:val="22"/>
          <w:szCs w:val="22"/>
        </w:rPr>
        <w:t xml:space="preserve">Mapa </w:t>
      </w:r>
      <w:r>
        <w:rPr>
          <w:rFonts w:ascii="Times New Roman" w:hAnsi="Times New Roman" w:cs="Times New Roman"/>
          <w:sz w:val="22"/>
          <w:szCs w:val="22"/>
        </w:rPr>
        <w:fldChar w:fldCharType="begin"/>
      </w:r>
      <w:r>
        <w:rPr>
          <w:rFonts w:ascii="Times New Roman" w:hAnsi="Times New Roman" w:cs="Times New Roman"/>
          <w:sz w:val="22"/>
          <w:szCs w:val="22"/>
        </w:rPr>
        <w:instrText>SEQ Mapa \* ARABIC</w:instrText>
      </w:r>
      <w:r>
        <w:rPr>
          <w:rFonts w:ascii="Times New Roman" w:hAnsi="Times New Roman" w:cs="Times New Roman"/>
          <w:sz w:val="22"/>
          <w:szCs w:val="22"/>
        </w:rPr>
        <w:fldChar w:fldCharType="separate"/>
      </w:r>
      <w:r>
        <w:rPr>
          <w:rFonts w:ascii="Times New Roman" w:hAnsi="Times New Roman" w:cs="Times New Roman"/>
          <w:sz w:val="22"/>
          <w:szCs w:val="22"/>
        </w:rPr>
        <w:t>7</w:t>
      </w:r>
      <w:r>
        <w:rPr>
          <w:rFonts w:ascii="Times New Roman" w:hAnsi="Times New Roman" w:cs="Times New Roman"/>
          <w:sz w:val="22"/>
          <w:szCs w:val="22"/>
        </w:rPr>
        <w:fldChar w:fldCharType="end"/>
      </w:r>
      <w:r>
        <w:rPr>
          <w:rFonts w:ascii="Times New Roman" w:hAnsi="Times New Roman" w:cs="Times New Roman"/>
          <w:sz w:val="22"/>
          <w:szCs w:val="22"/>
        </w:rPr>
        <w:t>: Strefa rolnicza przestrzeni produkcyjnej.</w:t>
      </w:r>
      <w:bookmarkEnd w:id="26"/>
    </w:p>
    <w:p w:rsidR="00DC75FA" w:rsidRDefault="00887D84">
      <w:pPr>
        <w:jc w:val="center"/>
      </w:pPr>
      <w:r>
        <w:rPr>
          <w:noProof/>
          <w:lang w:eastAsia="pl-PL"/>
        </w:rPr>
        <w:drawing>
          <wp:inline distT="0" distB="0" distL="0" distR="0">
            <wp:extent cx="3660775" cy="3363595"/>
            <wp:effectExtent l="0" t="0" r="0" b="0"/>
            <wp:docPr id="2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17"/>
                    <pic:cNvPicPr>
                      <a:picLocks noChangeAspect="1" noChangeArrowheads="1"/>
                    </pic:cNvPicPr>
                  </pic:nvPicPr>
                  <pic:blipFill>
                    <a:blip r:embed="rId31"/>
                    <a:stretch>
                      <a:fillRect/>
                    </a:stretch>
                  </pic:blipFill>
                  <pic:spPr bwMode="auto">
                    <a:xfrm>
                      <a:off x="0" y="0"/>
                      <a:ext cx="3660775" cy="3363595"/>
                    </a:xfrm>
                    <a:prstGeom prst="rect">
                      <a:avLst/>
                    </a:prstGeom>
                  </pic:spPr>
                </pic:pic>
              </a:graphicData>
            </a:graphic>
          </wp:inline>
        </w:drawing>
      </w:r>
    </w:p>
    <w:p w:rsidR="00DC75FA" w:rsidRDefault="00887D84">
      <w:pPr>
        <w:pStyle w:val="Legenda"/>
      </w:pPr>
      <w:r>
        <w:t>Źródło: opracowanie własne</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Głównym celem modelowania struktury funkcjonalno-przestrzennej obszaru jest określenie wzajemnych relacji pomiędzy poszczególnymi elementami tej struktury i między tymi elementami a obszarem jako całością oraz kształtowanie tych relacji w sposób zrównoważony. Właściwemu kształtowaniu i harmonizowaniu struktury zarówno w odniesieniu do relacji pomiędzy układem naturalnym i antropogenicznym, jak i w obrębie obu układów służą wytyczne dla lokalnych polityk przestrzennych, tj. przestrzenne warunki realizacji polityki rozwoju Obszaru Zielonego Zagłębia. Mając na uwadze elementy i obszary konstytuujące strukturę funkcjonalno-przestrzenną Obszaru Zielonego Zagłębia określa się poniższe ustalenia i rekomendacje do lokalnych polityk przestrzennych:</w:t>
      </w:r>
    </w:p>
    <w:p w:rsidR="00DC75FA" w:rsidRDefault="00DC75FA">
      <w:pPr>
        <w:spacing w:after="0"/>
        <w:jc w:val="both"/>
        <w:rPr>
          <w:rFonts w:ascii="Times New Roman" w:hAnsi="Times New Roman" w:cs="Times New Roman"/>
        </w:rPr>
      </w:pPr>
    </w:p>
    <w:tbl>
      <w:tblPr>
        <w:tblStyle w:val="GridTable4Accent5"/>
        <w:tblW w:w="9203" w:type="dxa"/>
        <w:tblLook w:val="04A0" w:firstRow="1" w:lastRow="0" w:firstColumn="1" w:lastColumn="0" w:noHBand="0" w:noVBand="1"/>
      </w:tblPr>
      <w:tblGrid>
        <w:gridCol w:w="9203"/>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Borders>
              <w:top w:val="single" w:sz="4" w:space="0" w:color="4472C4"/>
              <w:left w:val="single" w:sz="4" w:space="0" w:color="4472C4"/>
              <w:bottom w:val="single" w:sz="4" w:space="0" w:color="4472C4"/>
              <w:right w:val="single" w:sz="4" w:space="0" w:color="4472C4"/>
            </w:tcBorders>
            <w:shd w:val="clear" w:color="auto" w:fill="2E74B5" w:themeFill="accent1" w:themeFillShade="BF"/>
          </w:tcPr>
          <w:p w:rsidR="00DC75FA" w:rsidRDefault="00887D84">
            <w:pPr>
              <w:spacing w:after="0" w:line="240" w:lineRule="auto"/>
              <w:jc w:val="both"/>
              <w:rPr>
                <w:rFonts w:ascii="Times New Roman" w:hAnsi="Times New Roman" w:cs="Times New Roman"/>
              </w:rPr>
            </w:pPr>
            <w:r>
              <w:rPr>
                <w:rFonts w:ascii="Times New Roman" w:hAnsi="Times New Roman" w:cs="Times New Roman"/>
                <w:b w:val="0"/>
                <w:bCs w:val="0"/>
              </w:rPr>
              <w:t>Ustalenia i rekomendacje dla lokalnych dokumentów planistycznych</w:t>
            </w:r>
          </w:p>
        </w:tc>
      </w:tr>
    </w:tbl>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Mając na uwadze elementy i obszary konstytuujące strukturę funkcjonalno-przestrzenną Obszaru Zielonego Zagłębia określa się poniższe ustalenia i rekomendacje do lokalnych polityk przestrzennych:</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▪w zakresie kształtowania elementów właściwych dla wzmacniania i rozwoju funkcji społeczno-gospodarczych</w:t>
      </w:r>
    </w:p>
    <w:p w:rsidR="00DC75FA" w:rsidRDefault="00887D84">
      <w:pPr>
        <w:pStyle w:val="Akapitzlist"/>
        <w:numPr>
          <w:ilvl w:val="0"/>
          <w:numId w:val="15"/>
        </w:numPr>
        <w:spacing w:after="0"/>
        <w:jc w:val="both"/>
        <w:rPr>
          <w:rFonts w:ascii="Times New Roman" w:hAnsi="Times New Roman" w:cs="Times New Roman"/>
        </w:rPr>
      </w:pPr>
      <w:r>
        <w:rPr>
          <w:rFonts w:ascii="Times New Roman" w:hAnsi="Times New Roman" w:cs="Times New Roman"/>
        </w:rPr>
        <w:t>Przestrzenie publiczne należy uwzględniać jako organiczną część ośrodków osadniczych, stanowiącą podstawowy element integrujący układy ruralistyczne i decydujące o atrakcyjności obszaru dla zamieszkania;</w:t>
      </w:r>
    </w:p>
    <w:p w:rsidR="00DC75FA" w:rsidRDefault="00887D84">
      <w:pPr>
        <w:pStyle w:val="Akapitzlist"/>
        <w:numPr>
          <w:ilvl w:val="0"/>
          <w:numId w:val="15"/>
        </w:numPr>
        <w:spacing w:after="0"/>
        <w:jc w:val="both"/>
        <w:rPr>
          <w:rFonts w:ascii="Times New Roman" w:hAnsi="Times New Roman" w:cs="Times New Roman"/>
        </w:rPr>
      </w:pPr>
      <w:r>
        <w:rPr>
          <w:rFonts w:ascii="Times New Roman" w:hAnsi="Times New Roman" w:cs="Times New Roman"/>
        </w:rPr>
        <w:t xml:space="preserve">W planowaniu terenów mieszkaniowych, usługowych i innych należy zapewnić ochronę ogólnodostępnych miejsc i możliwości tworzenia nowych przestrzeni publicznych (zieleńców, parków, placów zabaw, pasaży handlowych, terenów sportowo-rekreacyjnych itp.) przy zachowaniu historycznych założeń, układów urbanistycznych i przestrzeni publicznych; </w:t>
      </w:r>
    </w:p>
    <w:p w:rsidR="00DC75FA" w:rsidRDefault="00887D84">
      <w:pPr>
        <w:pStyle w:val="Akapitzlist"/>
        <w:numPr>
          <w:ilvl w:val="0"/>
          <w:numId w:val="15"/>
        </w:numPr>
        <w:spacing w:after="0"/>
        <w:jc w:val="both"/>
        <w:rPr>
          <w:rFonts w:ascii="Times New Roman" w:hAnsi="Times New Roman" w:cs="Times New Roman"/>
        </w:rPr>
      </w:pPr>
      <w:r>
        <w:rPr>
          <w:rFonts w:ascii="Times New Roman" w:hAnsi="Times New Roman" w:cs="Times New Roman"/>
        </w:rPr>
        <w:t xml:space="preserve">W procesie planowania struktur osadniczych należy uwzględniać:–porządkowanie struktur przestrzennych (ruralistycznych), możliwie z zachowaniem skali i form zabudowy charakterystycznych dla terenów wiejskich, –planowanie terenów urbanizacji warunkowanych równoczesną realizacją sieci wodociągowej i kanalizacyjnej; </w:t>
      </w:r>
    </w:p>
    <w:p w:rsidR="00DC75FA" w:rsidRDefault="00887D84">
      <w:pPr>
        <w:pStyle w:val="Akapitzlist"/>
        <w:numPr>
          <w:ilvl w:val="0"/>
          <w:numId w:val="15"/>
        </w:numPr>
        <w:spacing w:after="0"/>
        <w:jc w:val="both"/>
        <w:rPr>
          <w:rFonts w:ascii="Times New Roman" w:hAnsi="Times New Roman" w:cs="Times New Roman"/>
        </w:rPr>
      </w:pPr>
      <w:r>
        <w:rPr>
          <w:rFonts w:ascii="Times New Roman" w:hAnsi="Times New Roman" w:cs="Times New Roman"/>
        </w:rPr>
        <w:t>Za główne ogniwa organizacji przestrzeni gospodarczej uznaje się wyznaczone w miejscowych planach zagospodarowania przestrzennego tereny przeznaczone na ten cel,</w:t>
      </w:r>
    </w:p>
    <w:p w:rsidR="00DC75FA" w:rsidRDefault="00887D84">
      <w:pPr>
        <w:pStyle w:val="Akapitzlist"/>
        <w:numPr>
          <w:ilvl w:val="0"/>
          <w:numId w:val="15"/>
        </w:numPr>
        <w:spacing w:after="0"/>
        <w:jc w:val="both"/>
        <w:rPr>
          <w:rFonts w:ascii="Times New Roman" w:hAnsi="Times New Roman" w:cs="Times New Roman"/>
        </w:rPr>
      </w:pPr>
      <w:r>
        <w:rPr>
          <w:rFonts w:ascii="Times New Roman" w:hAnsi="Times New Roman" w:cs="Times New Roman"/>
        </w:rPr>
        <w:t>Za podstawowe strefy rozwoju gospodarczego wskazuje się obszary atrakcyjne inwestycyjnie dla rozwoju przedsiębiorczości pozarolniczej obejmujące tereny podmiejskie i w ośrodkach gminnych na kierunkach głównych powiązań transportowych;</w:t>
      </w:r>
    </w:p>
    <w:p w:rsidR="00DC75FA" w:rsidRDefault="00887D84">
      <w:pPr>
        <w:pStyle w:val="Akapitzlist"/>
        <w:numPr>
          <w:ilvl w:val="0"/>
          <w:numId w:val="15"/>
        </w:numPr>
        <w:spacing w:after="0"/>
        <w:jc w:val="both"/>
        <w:rPr>
          <w:rFonts w:ascii="Times New Roman" w:hAnsi="Times New Roman" w:cs="Times New Roman"/>
        </w:rPr>
      </w:pPr>
      <w:r>
        <w:rPr>
          <w:rFonts w:ascii="Times New Roman" w:hAnsi="Times New Roman" w:cs="Times New Roman"/>
        </w:rPr>
        <w:t>Uciążliwe lub wysokospecjalistyczne aktywności/przedsięwzięcia gospodarcze należy lokalizować w wyodrębnionych strefach umożliwiających eliminację środowiskowych kolizji funkcjonalnych oraz kształtowanie powiązań pomiędzy sferą produkcyjną a bazą badawczo-rozwojową;</w:t>
      </w:r>
    </w:p>
    <w:p w:rsidR="00DC75FA" w:rsidRDefault="00887D84">
      <w:pPr>
        <w:pStyle w:val="Akapitzlist"/>
        <w:numPr>
          <w:ilvl w:val="0"/>
          <w:numId w:val="15"/>
        </w:numPr>
        <w:spacing w:after="0"/>
        <w:jc w:val="both"/>
        <w:rPr>
          <w:rFonts w:ascii="Times New Roman" w:hAnsi="Times New Roman" w:cs="Times New Roman"/>
        </w:rPr>
      </w:pPr>
      <w:r>
        <w:rPr>
          <w:rFonts w:ascii="Times New Roman" w:hAnsi="Times New Roman" w:cs="Times New Roman"/>
        </w:rPr>
        <w:t>Planowanie lokalizacji terenów aktywności gospodarczej w obszarach z istniejącym lub zaplanowanym pełnym uzbrojeniem terenów inwestycyjnych umożliwiających osiąganie wysokich standardów zagospodarowania;</w:t>
      </w:r>
    </w:p>
    <w:p w:rsidR="00DC75FA" w:rsidRDefault="00887D84">
      <w:pPr>
        <w:pStyle w:val="Akapitzlist"/>
        <w:numPr>
          <w:ilvl w:val="0"/>
          <w:numId w:val="15"/>
        </w:numPr>
        <w:spacing w:after="0"/>
        <w:jc w:val="both"/>
        <w:rPr>
          <w:rFonts w:ascii="Times New Roman" w:hAnsi="Times New Roman" w:cs="Times New Roman"/>
        </w:rPr>
      </w:pPr>
      <w:r>
        <w:rPr>
          <w:rFonts w:ascii="Times New Roman" w:hAnsi="Times New Roman" w:cs="Times New Roman"/>
        </w:rPr>
        <w:t>W celu podkreślenia bogactwa kultury lokalnej oraz wzbogacenia funkcjonalnego rekomenduje się jej eksponowanie w przestrzeni potencjałów kulturowych oraz wykorzystanie dla potrzeb turystyki poprzez:</w:t>
      </w:r>
    </w:p>
    <w:p w:rsidR="00DC75FA" w:rsidRDefault="00887D84">
      <w:pPr>
        <w:spacing w:after="0"/>
        <w:jc w:val="both"/>
        <w:rPr>
          <w:rFonts w:ascii="Times New Roman" w:hAnsi="Times New Roman" w:cs="Times New Roman"/>
        </w:rPr>
      </w:pPr>
      <w:r>
        <w:rPr>
          <w:rFonts w:ascii="Times New Roman" w:hAnsi="Times New Roman" w:cs="Times New Roman"/>
        </w:rPr>
        <w:t xml:space="preserve">–włączenie do programów rozwoju turystyki: obiektów muzealnych, dawnych budowli obronnych, dawnych zespołów rezydencjonalnych, zespołów sakralnych, zabytków techniki, budynków użyteczności publicznej, </w:t>
      </w:r>
    </w:p>
    <w:p w:rsidR="00DC75FA" w:rsidRDefault="00887D84">
      <w:pPr>
        <w:spacing w:after="0"/>
        <w:jc w:val="both"/>
        <w:rPr>
          <w:rFonts w:ascii="Times New Roman" w:hAnsi="Times New Roman" w:cs="Times New Roman"/>
        </w:rPr>
      </w:pPr>
      <w:r>
        <w:rPr>
          <w:rFonts w:ascii="Times New Roman" w:hAnsi="Times New Roman" w:cs="Times New Roman"/>
        </w:rPr>
        <w:t>–zagospodarowanie w formie szlaków turystycznych lub tras rowerowych historycznych szlaków handlowych, kulturowych,</w:t>
      </w:r>
    </w:p>
    <w:p w:rsidR="00DC75FA" w:rsidRDefault="00887D84">
      <w:pPr>
        <w:spacing w:after="0"/>
        <w:jc w:val="both"/>
        <w:rPr>
          <w:rFonts w:ascii="Times New Roman" w:hAnsi="Times New Roman" w:cs="Times New Roman"/>
        </w:rPr>
      </w:pPr>
      <w:r>
        <w:rPr>
          <w:rFonts w:ascii="Times New Roman" w:hAnsi="Times New Roman" w:cs="Times New Roman"/>
        </w:rPr>
        <w:t>–wykorzystywanie ocalałych obiektów dziedzictwa kulturowego jako wzorników w kształtowaniu lokalnej przestrzeni, a także bazy dla tworzenia instytucji kultury,</w:t>
      </w:r>
    </w:p>
    <w:p w:rsidR="00DC75FA" w:rsidRDefault="00887D84">
      <w:pPr>
        <w:spacing w:after="0"/>
        <w:jc w:val="both"/>
        <w:rPr>
          <w:rFonts w:ascii="Times New Roman" w:hAnsi="Times New Roman" w:cs="Times New Roman"/>
        </w:rPr>
      </w:pPr>
      <w:r>
        <w:rPr>
          <w:rFonts w:ascii="Times New Roman" w:hAnsi="Times New Roman" w:cs="Times New Roman"/>
        </w:rPr>
        <w:t>–wspieranie rozwoju sieci muzeów i skansenów;</w:t>
      </w:r>
    </w:p>
    <w:p w:rsidR="00DC75FA" w:rsidRDefault="00887D84">
      <w:pPr>
        <w:spacing w:after="0"/>
        <w:jc w:val="both"/>
        <w:rPr>
          <w:rFonts w:ascii="Times New Roman" w:hAnsi="Times New Roman" w:cs="Times New Roman"/>
        </w:rPr>
      </w:pPr>
      <w:r>
        <w:rPr>
          <w:rFonts w:ascii="Times New Roman" w:hAnsi="Times New Roman" w:cs="Times New Roman"/>
        </w:rPr>
        <w:lastRenderedPageBreak/>
        <w:t xml:space="preserve">–zabezpieczenie zaplecza infrastrukturalnego dla wsparcia twórczości ludowej, a także ośrodków rzemiosła ludowego oraz tworzenia izb regionalnych, </w:t>
      </w:r>
    </w:p>
    <w:p w:rsidR="00DC75FA" w:rsidRDefault="00887D84">
      <w:pPr>
        <w:spacing w:after="0"/>
        <w:jc w:val="both"/>
        <w:rPr>
          <w:rFonts w:ascii="Times New Roman" w:hAnsi="Times New Roman" w:cs="Times New Roman"/>
        </w:rPr>
      </w:pPr>
      <w:r>
        <w:rPr>
          <w:rFonts w:ascii="Times New Roman" w:hAnsi="Times New Roman" w:cs="Times New Roman"/>
        </w:rPr>
        <w:t>–objęcie ochroną wszelkich przejawów działalności kulturowej i kulturotwórczej, przetrwałych tradycji, obrzędów, stroju ludowego oraz wspieranie współczesnych form kontynuacji tradycji lokalnych,</w:t>
      </w:r>
    </w:p>
    <w:p w:rsidR="00DC75FA" w:rsidRDefault="00887D84">
      <w:pPr>
        <w:spacing w:after="0"/>
        <w:jc w:val="both"/>
        <w:rPr>
          <w:rFonts w:ascii="Times New Roman" w:hAnsi="Times New Roman" w:cs="Times New Roman"/>
        </w:rPr>
      </w:pPr>
      <w:r>
        <w:rPr>
          <w:rFonts w:ascii="Times New Roman" w:hAnsi="Times New Roman" w:cs="Times New Roman"/>
        </w:rPr>
        <w:t>–ochronę i eksponowanie miejsc pamięci narodowej, w tym miejsc wydarzeń i walk historycznych (m. in. Cyców);</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▪w zakresie kształtowania elementów wiodącej funkcji przyrodniczej i ochronnej</w:t>
      </w:r>
    </w:p>
    <w:p w:rsidR="00DC75FA" w:rsidRDefault="00887D84">
      <w:pPr>
        <w:pStyle w:val="Akapitzlist"/>
        <w:numPr>
          <w:ilvl w:val="0"/>
          <w:numId w:val="16"/>
        </w:numPr>
        <w:spacing w:after="0"/>
        <w:jc w:val="both"/>
        <w:rPr>
          <w:rFonts w:ascii="Times New Roman" w:hAnsi="Times New Roman" w:cs="Times New Roman"/>
        </w:rPr>
      </w:pPr>
      <w:r>
        <w:rPr>
          <w:rFonts w:ascii="Times New Roman" w:hAnsi="Times New Roman" w:cs="Times New Roman"/>
        </w:rPr>
        <w:t>Systemy Przyrodnicze Gmin powinny być wzajemnie spójne i uwzględniać elementy regionalnej sieci ekologicznej;</w:t>
      </w:r>
    </w:p>
    <w:p w:rsidR="00DC75FA" w:rsidRDefault="00887D84">
      <w:pPr>
        <w:pStyle w:val="Akapitzlist"/>
        <w:numPr>
          <w:ilvl w:val="0"/>
          <w:numId w:val="16"/>
        </w:numPr>
        <w:spacing w:after="0"/>
        <w:jc w:val="both"/>
        <w:rPr>
          <w:rFonts w:ascii="Times New Roman" w:hAnsi="Times New Roman" w:cs="Times New Roman"/>
        </w:rPr>
      </w:pPr>
      <w:r>
        <w:rPr>
          <w:rFonts w:ascii="Times New Roman" w:hAnsi="Times New Roman" w:cs="Times New Roman"/>
        </w:rPr>
        <w:t xml:space="preserve">W kształtowaniu zagospodarowania w granicach korytarzy ekologicznych należy: –utrzymywać przestrzenie wolne od zabudowy,–zapewnić odpowiednie rozwiązania przestrzenne umożliwiające migrację zwierząt (np. mosty ekologiczne, przepusty, estakady itp.) w przypadku konieczności sytuowania nasypów ziemnych poprzecznie do osi korytarza, w tym kształtowanie naturalnych alternatywnych sposobów łączności ekologicznej (obejść ekologicznych), –kształtować pasmowe struktury przyrodnicze (łąk, </w:t>
      </w:r>
      <w:proofErr w:type="spellStart"/>
      <w:r>
        <w:rPr>
          <w:rFonts w:ascii="Times New Roman" w:hAnsi="Times New Roman" w:cs="Times New Roman"/>
        </w:rPr>
        <w:t>zadrzewień</w:t>
      </w:r>
      <w:proofErr w:type="spellEnd"/>
      <w:r>
        <w:rPr>
          <w:rFonts w:ascii="Times New Roman" w:hAnsi="Times New Roman" w:cs="Times New Roman"/>
        </w:rPr>
        <w:t xml:space="preserve"> i </w:t>
      </w:r>
      <w:proofErr w:type="spellStart"/>
      <w:r>
        <w:rPr>
          <w:rFonts w:ascii="Times New Roman" w:hAnsi="Times New Roman" w:cs="Times New Roman"/>
        </w:rPr>
        <w:t>zakrzewień</w:t>
      </w:r>
      <w:proofErr w:type="spellEnd"/>
      <w:r>
        <w:rPr>
          <w:rFonts w:ascii="Times New Roman" w:hAnsi="Times New Roman" w:cs="Times New Roman"/>
        </w:rPr>
        <w:t xml:space="preserve"> śródpolnych), –uwzględnić zwiększanie ciągłości leśnych korytarzy ekologicznych poprzez zalesienia, –odbudowę stosunków hydrologicznych;</w:t>
      </w:r>
    </w:p>
    <w:p w:rsidR="00DC75FA" w:rsidRDefault="00887D84">
      <w:pPr>
        <w:pStyle w:val="Akapitzlist"/>
        <w:numPr>
          <w:ilvl w:val="0"/>
          <w:numId w:val="16"/>
        </w:numPr>
        <w:spacing w:after="0"/>
        <w:jc w:val="both"/>
        <w:rPr>
          <w:rFonts w:ascii="Times New Roman" w:hAnsi="Times New Roman" w:cs="Times New Roman"/>
        </w:rPr>
      </w:pPr>
      <w:r>
        <w:rPr>
          <w:rFonts w:ascii="Times New Roman" w:hAnsi="Times New Roman" w:cs="Times New Roman"/>
        </w:rPr>
        <w:t>Ze względu na wrażliwość, walory turystyczne środowiska i rangę ochrony ustala się kierunki turystycznego wykorzystania obszarów objętych ochroną prawną lub wskazanych do objęcia taką ochroną, tj.:–obszary rozwoju rekreacji wypoczynkowej i turystyki krajoznawczej obejmujące obszary chronionego krajobrazu z uwzględnieniem czynnej ochrony ekosystemów służącej podnoszeniu walorów turystycznych, –planowane w lokalnych dokumentach planistycznych (</w:t>
      </w:r>
      <w:proofErr w:type="spellStart"/>
      <w:r>
        <w:rPr>
          <w:rFonts w:ascii="Times New Roman" w:hAnsi="Times New Roman" w:cs="Times New Roman"/>
        </w:rPr>
        <w:t>mpzp</w:t>
      </w:r>
      <w:proofErr w:type="spellEnd"/>
      <w:r>
        <w:rPr>
          <w:rFonts w:ascii="Times New Roman" w:hAnsi="Times New Roman" w:cs="Times New Roman"/>
        </w:rPr>
        <w:t xml:space="preserve">, </w:t>
      </w:r>
      <w:proofErr w:type="spellStart"/>
      <w:r>
        <w:rPr>
          <w:rFonts w:ascii="Times New Roman" w:hAnsi="Times New Roman" w:cs="Times New Roman"/>
        </w:rPr>
        <w:t>suikzp</w:t>
      </w:r>
      <w:proofErr w:type="spellEnd"/>
      <w:r>
        <w:rPr>
          <w:rFonts w:ascii="Times New Roman" w:hAnsi="Times New Roman" w:cs="Times New Roman"/>
        </w:rPr>
        <w:t>) obszary chronionego krajobrazu z uwzględnieniem ograniczania działań wpływających negatywnie na przedmiot ochrony;</w:t>
      </w:r>
    </w:p>
    <w:p w:rsidR="00DC75FA" w:rsidRDefault="00887D84">
      <w:pPr>
        <w:pStyle w:val="Akapitzlist"/>
        <w:numPr>
          <w:ilvl w:val="0"/>
          <w:numId w:val="16"/>
        </w:numPr>
        <w:spacing w:after="0"/>
        <w:jc w:val="both"/>
        <w:rPr>
          <w:rFonts w:ascii="Times New Roman" w:hAnsi="Times New Roman" w:cs="Times New Roman"/>
        </w:rPr>
      </w:pPr>
      <w:r>
        <w:rPr>
          <w:rFonts w:ascii="Times New Roman" w:hAnsi="Times New Roman" w:cs="Times New Roman"/>
        </w:rPr>
        <w:t>Przeznaczanie lasów na cele rekreacyjne uzależnia się od utrzymania funkcji ekologicznej (biologicznej, klimatycznej itp.) oraz drożności przestrzeni leśnej:</w:t>
      </w:r>
    </w:p>
    <w:p w:rsidR="00DC75FA" w:rsidRDefault="00DC75FA">
      <w:pPr>
        <w:pStyle w:val="Akapitzlist"/>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▪w zakresie kształtowania elementów infrastruktury technicznej</w:t>
      </w:r>
    </w:p>
    <w:p w:rsidR="00DC75FA" w:rsidRDefault="00DC75FA">
      <w:pPr>
        <w:spacing w:after="0"/>
        <w:jc w:val="both"/>
        <w:rPr>
          <w:rFonts w:ascii="Times New Roman" w:hAnsi="Times New Roman" w:cs="Times New Roman"/>
        </w:rPr>
      </w:pPr>
    </w:p>
    <w:p w:rsidR="00DC75FA" w:rsidRDefault="00887D84">
      <w:pPr>
        <w:pStyle w:val="Akapitzlist"/>
        <w:numPr>
          <w:ilvl w:val="0"/>
          <w:numId w:val="17"/>
        </w:numPr>
        <w:spacing w:after="0"/>
        <w:jc w:val="both"/>
        <w:rPr>
          <w:rFonts w:ascii="Times New Roman" w:hAnsi="Times New Roman" w:cs="Times New Roman"/>
        </w:rPr>
      </w:pPr>
      <w:r>
        <w:rPr>
          <w:rFonts w:ascii="Times New Roman" w:hAnsi="Times New Roman" w:cs="Times New Roman"/>
        </w:rPr>
        <w:t xml:space="preserve">W celu poprawy jakości powiązań transportowych oraz poprawy sprawności i bezpieczeństwa ruchu wskazuje się wprowadzenie lub utrzymanie rezerw terenowych niezbędnych do realizacji kluczowych w tym zakresie zamierzeń inwestycyjnych, </w:t>
      </w:r>
      <w:proofErr w:type="spellStart"/>
      <w:r>
        <w:rPr>
          <w:rFonts w:ascii="Times New Roman" w:hAnsi="Times New Roman" w:cs="Times New Roman"/>
        </w:rPr>
        <w:t>tj.:rozbudowy</w:t>
      </w:r>
      <w:proofErr w:type="spellEnd"/>
      <w:r>
        <w:rPr>
          <w:rFonts w:ascii="Times New Roman" w:hAnsi="Times New Roman" w:cs="Times New Roman"/>
        </w:rPr>
        <w:t xml:space="preserve"> i poprawy parametrów technicznych dróg krajowych i wojewódzkich;</w:t>
      </w:r>
    </w:p>
    <w:p w:rsidR="00DC75FA" w:rsidRDefault="00887D84">
      <w:pPr>
        <w:pStyle w:val="Akapitzlist"/>
        <w:numPr>
          <w:ilvl w:val="0"/>
          <w:numId w:val="17"/>
        </w:numPr>
        <w:spacing w:after="0"/>
        <w:jc w:val="both"/>
        <w:rPr>
          <w:rFonts w:ascii="Times New Roman" w:hAnsi="Times New Roman" w:cs="Times New Roman"/>
        </w:rPr>
      </w:pPr>
      <w:r>
        <w:rPr>
          <w:rFonts w:ascii="Times New Roman" w:hAnsi="Times New Roman" w:cs="Times New Roman"/>
        </w:rPr>
        <w:t xml:space="preserve">W celu zapewnienia dostępności do ośrodków obsługi skupiających funkcje usługowe (ośrodki gminne) oraz zwiększenia mobilności mieszkańców lokalne polityki przestrzenne powinny uwzględniać przywrócenie i usprawnienie powiązań komunikacyjnych miejscowości wiejskich z ośrodkami lokalnymi i ponadlokalnym; </w:t>
      </w:r>
    </w:p>
    <w:p w:rsidR="00DC75FA" w:rsidRDefault="00887D84">
      <w:pPr>
        <w:pStyle w:val="Akapitzlist"/>
        <w:numPr>
          <w:ilvl w:val="0"/>
          <w:numId w:val="17"/>
        </w:numPr>
        <w:spacing w:after="0"/>
        <w:jc w:val="both"/>
        <w:rPr>
          <w:rFonts w:ascii="Times New Roman" w:hAnsi="Times New Roman" w:cs="Times New Roman"/>
        </w:rPr>
      </w:pPr>
      <w:r>
        <w:rPr>
          <w:rFonts w:ascii="Times New Roman" w:hAnsi="Times New Roman" w:cs="Times New Roman"/>
        </w:rPr>
        <w:t>W ramach przeciwdziałania uciążliwościom akustycznym generowanym przez ruch komunikacyjny wskazuje się nie lokalizowanie (w lokalnych dokumentach planistycznych) funkcji wrażliwych na uciążliwości hałasu na terenach położonych w bezpośrednim sąsiedztwie głównych drogowych powiązań transportowych;</w:t>
      </w:r>
    </w:p>
    <w:p w:rsidR="00DC75FA" w:rsidRDefault="00887D84">
      <w:pPr>
        <w:pStyle w:val="Akapitzlist"/>
        <w:numPr>
          <w:ilvl w:val="0"/>
          <w:numId w:val="17"/>
        </w:numPr>
        <w:spacing w:after="0"/>
        <w:jc w:val="both"/>
        <w:rPr>
          <w:rFonts w:ascii="Times New Roman" w:hAnsi="Times New Roman" w:cs="Times New Roman"/>
        </w:rPr>
      </w:pPr>
      <w:r>
        <w:rPr>
          <w:rFonts w:ascii="Times New Roman" w:hAnsi="Times New Roman" w:cs="Times New Roman"/>
        </w:rPr>
        <w:t>Za kluczowe zamierzenia inwestycyjne wpływające na poprawę funkcjonowania układu podstawowych powiązań elektroenergetycznych uznaje się poprawę stabilności zaopatrzenia w energię z wykorzystaniem energii ze źródeł odnawialnych;</w:t>
      </w:r>
    </w:p>
    <w:p w:rsidR="00DC75FA" w:rsidRDefault="00DC75FA">
      <w:pPr>
        <w:pStyle w:val="Akapitzlist"/>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 w zakresie kształtowania terenów rolniczej przestrzeni produkcyjnej</w:t>
      </w:r>
    </w:p>
    <w:p w:rsidR="00DC75FA" w:rsidRDefault="00DC75FA">
      <w:pPr>
        <w:spacing w:after="0"/>
        <w:jc w:val="both"/>
        <w:rPr>
          <w:rFonts w:ascii="Times New Roman" w:hAnsi="Times New Roman" w:cs="Times New Roman"/>
        </w:rPr>
      </w:pPr>
    </w:p>
    <w:p w:rsidR="00DC75FA" w:rsidRDefault="00887D84">
      <w:pPr>
        <w:pStyle w:val="Akapitzlist"/>
        <w:numPr>
          <w:ilvl w:val="0"/>
          <w:numId w:val="18"/>
        </w:numPr>
        <w:spacing w:after="0"/>
        <w:jc w:val="both"/>
        <w:rPr>
          <w:rFonts w:ascii="Times New Roman" w:hAnsi="Times New Roman" w:cs="Times New Roman"/>
        </w:rPr>
      </w:pPr>
      <w:r>
        <w:rPr>
          <w:rFonts w:ascii="Times New Roman" w:hAnsi="Times New Roman" w:cs="Times New Roman"/>
        </w:rPr>
        <w:t>W celu ochrony terenów rolnych przed degradacją oraz minimalizowania negatywnych skutków ekonomicznych związanych z rozpraszaniem zabudowy, wskazuje się:</w:t>
      </w:r>
    </w:p>
    <w:p w:rsidR="00DC75FA" w:rsidRDefault="00887D84">
      <w:pPr>
        <w:pStyle w:val="Akapitzlist"/>
        <w:spacing w:after="0"/>
        <w:jc w:val="both"/>
        <w:rPr>
          <w:rFonts w:ascii="Times New Roman" w:hAnsi="Times New Roman" w:cs="Times New Roman"/>
        </w:rPr>
      </w:pPr>
      <w:r>
        <w:rPr>
          <w:rFonts w:ascii="Times New Roman" w:hAnsi="Times New Roman" w:cs="Times New Roman"/>
        </w:rPr>
        <w:lastRenderedPageBreak/>
        <w:t>–ograniczenie i zatrzymanie procesów urbanizacji poprzez zakaz wyznaczania nowych terenów zabudowy poza terenami istniejącego zainwestowania (dopuszcza się możliwość włączenia w granice tych terenów, nieruchomości lub ich części położonych pomiędzy zainwestowanymi nieruchomościami, stanowiącymi dopełnienie istniejących struktur zabudowy),</w:t>
      </w:r>
    </w:p>
    <w:p w:rsidR="00DC75FA" w:rsidRDefault="00887D84">
      <w:pPr>
        <w:pStyle w:val="Akapitzlist"/>
        <w:spacing w:after="0"/>
        <w:jc w:val="both"/>
        <w:rPr>
          <w:rFonts w:ascii="Times New Roman" w:hAnsi="Times New Roman" w:cs="Times New Roman"/>
        </w:rPr>
      </w:pPr>
      <w:r>
        <w:rPr>
          <w:rFonts w:ascii="Times New Roman" w:hAnsi="Times New Roman" w:cs="Times New Roman"/>
        </w:rPr>
        <w:t>–zachowanie dotychczasowego sposobu użytkowania terenów rolnych (upraw polowych, łąk i pastwisk),</w:t>
      </w:r>
    </w:p>
    <w:p w:rsidR="00DC75FA" w:rsidRDefault="00887D84">
      <w:pPr>
        <w:pStyle w:val="Akapitzlist"/>
        <w:spacing w:after="0"/>
        <w:jc w:val="both"/>
        <w:rPr>
          <w:rFonts w:ascii="Times New Roman" w:hAnsi="Times New Roman" w:cs="Times New Roman"/>
        </w:rPr>
      </w:pPr>
      <w:r>
        <w:rPr>
          <w:rFonts w:ascii="Times New Roman" w:hAnsi="Times New Roman" w:cs="Times New Roman"/>
        </w:rPr>
        <w:t>–niwelowanie potencjalnych konfliktów przestrzennych poprzez kształtowanie prawidłowych relacji pomiędzy zabudową związaną z produkcją rolną a zabudową mieszkaniową;</w:t>
      </w:r>
    </w:p>
    <w:p w:rsidR="00DC75FA" w:rsidRDefault="00887D84">
      <w:pPr>
        <w:pStyle w:val="Akapitzlist"/>
        <w:numPr>
          <w:ilvl w:val="0"/>
          <w:numId w:val="18"/>
        </w:numPr>
        <w:spacing w:after="0"/>
        <w:jc w:val="both"/>
        <w:rPr>
          <w:rFonts w:ascii="Times New Roman" w:hAnsi="Times New Roman" w:cs="Times New Roman"/>
        </w:rPr>
      </w:pPr>
      <w:r>
        <w:rPr>
          <w:rFonts w:ascii="Times New Roman" w:hAnsi="Times New Roman" w:cs="Times New Roman"/>
        </w:rPr>
        <w:t>W celu ochrony walorów przestrzeni rolniczej – minimalizowanie negatywnego oddziaływania na krajobraz obiektów kubaturowych poprzez ograniczenie zajmowanej przez nie powierzchni oraz wysokości obiektów, – ochrona otwarć widokowych i szerokich panoram przed zwartymi ciągami zabudowy, –zachowanie w dotychczasowym użytkowaniu gruntów nieleśnych posiadających walory przyrodnicze (np. łąki wewnątrz i na obrzeżach kompleksów leśnych), –utrzymanie istniejących warunków gruntowo-wodnych;</w:t>
      </w:r>
    </w:p>
    <w:p w:rsidR="00DC75FA" w:rsidRDefault="00887D84">
      <w:pPr>
        <w:pStyle w:val="Akapitzlist"/>
        <w:numPr>
          <w:ilvl w:val="0"/>
          <w:numId w:val="18"/>
        </w:numPr>
        <w:spacing w:after="0"/>
        <w:jc w:val="both"/>
      </w:pPr>
      <w:r>
        <w:rPr>
          <w:rFonts w:ascii="Times New Roman" w:hAnsi="Times New Roman" w:cs="Times New Roman"/>
        </w:rPr>
        <w:t xml:space="preserve">W ramach rozwoju gospodarki rybackiej wskazuje się utrzymanie w użytkowaniu istniejących obiektów stawowych oraz tworzenie nowych, szczególnie na terenach </w:t>
      </w:r>
      <w:proofErr w:type="spellStart"/>
      <w:r>
        <w:rPr>
          <w:rFonts w:ascii="Times New Roman" w:hAnsi="Times New Roman" w:cs="Times New Roman"/>
        </w:rPr>
        <w:t>pogórniczych</w:t>
      </w:r>
      <w:proofErr w:type="spellEnd"/>
      <w:r>
        <w:rPr>
          <w:rFonts w:ascii="Times New Roman" w:hAnsi="Times New Roman" w:cs="Times New Roman"/>
        </w:rPr>
        <w:t xml:space="preserve">, których efektem jest tworzenie niecek i zapadlisk. </w:t>
      </w:r>
      <w:r>
        <w:br w:type="page"/>
      </w:r>
    </w:p>
    <w:p w:rsidR="00DC75FA" w:rsidRDefault="00887D84">
      <w:pPr>
        <w:pStyle w:val="Nagwek1"/>
        <w:numPr>
          <w:ilvl w:val="0"/>
          <w:numId w:val="7"/>
        </w:numPr>
        <w:rPr>
          <w:rFonts w:ascii="Times New Roman" w:hAnsi="Times New Roman" w:cs="Times New Roman"/>
        </w:rPr>
      </w:pPr>
      <w:bookmarkStart w:id="27" w:name="_Toc105754697"/>
      <w:r>
        <w:rPr>
          <w:rFonts w:ascii="Times New Roman" w:hAnsi="Times New Roman" w:cs="Times New Roman"/>
        </w:rPr>
        <w:lastRenderedPageBreak/>
        <w:t>Terytorialny wymiar wsparcia, obszary strategicznej interwencji, obszary funkcjonalne</w:t>
      </w:r>
      <w:bookmarkEnd w:id="27"/>
    </w:p>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 xml:space="preserve">Zróżnicowane potencjały i bariery rozwojowe gmin Obszaru Zielonego Zagłębia  mają swoje odniesienia przestrzenne, a identyfikacja tych zróżnicowań ma istotne znaczenie dla prowadzenia polityki rozwoju w ujęciu terytorialnym. Pozwala to na ukierunkowanie interwencji publicznych nie tylko tematycznie, ale także w stosunku do konkretnych obszarów. </w:t>
      </w:r>
    </w:p>
    <w:p w:rsidR="00DC75FA" w:rsidRDefault="00887D84">
      <w:pPr>
        <w:jc w:val="both"/>
        <w:rPr>
          <w:rFonts w:ascii="Times New Roman" w:hAnsi="Times New Roman" w:cs="Times New Roman"/>
        </w:rPr>
      </w:pPr>
      <w:r>
        <w:rPr>
          <w:rFonts w:ascii="Times New Roman" w:hAnsi="Times New Roman" w:cs="Times New Roman"/>
        </w:rPr>
        <w:t>Podejście terytorialne w niniejszej strategii jest narzędziem wzmacniania procesów rozwojowych na obszarze ziemi łukowskiej, pozwalając tym samym na zwiększenie skuteczności osiągnięcia celów operacyjnych. Podstawą określenia wymiaru terytorialnego w niniejszej strategii jest nowy paradygmat polityki rozwoju, zdefiniowany w dokumentach strategicznych na poziomie krajowym, m.in. Strategii na rzecz Odpowiedzialnego Rozwoju i Krajowej Strategia Rozwoju Regionalnego 2030 (KSRR 2030). Model ten zakłada zmniejszanie dysproporcji w poziomie rozwoju społeczno-gospodarczego regionów oraz zapewnienie większej spójności rozwojowej Polski przez wsparcie obszarów słabszych gospodarczo -rozwój społecznie i terytorialnie zrównoważony.</w:t>
      </w:r>
    </w:p>
    <w:p w:rsidR="00DC75FA" w:rsidRDefault="00887D84">
      <w:pPr>
        <w:jc w:val="both"/>
        <w:rPr>
          <w:rFonts w:ascii="Times New Roman" w:hAnsi="Times New Roman" w:cs="Times New Roman"/>
        </w:rPr>
      </w:pPr>
      <w:r>
        <w:rPr>
          <w:rFonts w:ascii="Times New Roman" w:hAnsi="Times New Roman" w:cs="Times New Roman"/>
        </w:rPr>
        <w:t xml:space="preserve">Odejście od wspierania całego kraju czy regionów w jednolity sposób na rzecz większego różnicowania interwencji, w zależności od problemów i potencjałów poszczególnych obszarów, przełożyło się na wyznaczenie krajowych obszarów strategicznej interwencji (OSI) oraz na tworzenie instrumentów terytorialnych dopasowanych do ich specyficznych potrzeb rozwojowych. Terytorium Obszaru Zielonego Zagłębia objęte zostało następującymi OSI wyznaczonymi w KSRR 2030: tj. wschodnia Polska, która nadal pozostaje jednym z najbiedniejszych regionów w Unii Europejskiej. </w:t>
      </w:r>
    </w:p>
    <w:p w:rsidR="00DC75FA" w:rsidRDefault="00887D84">
      <w:pPr>
        <w:jc w:val="both"/>
        <w:rPr>
          <w:rFonts w:ascii="Times New Roman" w:hAnsi="Times New Roman" w:cs="Times New Roman"/>
        </w:rPr>
      </w:pPr>
      <w:r>
        <w:rPr>
          <w:rFonts w:ascii="Times New Roman" w:hAnsi="Times New Roman" w:cs="Times New Roman"/>
        </w:rPr>
        <w:t>Zgodnie z zapisami KSRR 2030: „Analiza wsparcia w województwach wschodniej Polski pokazuje wyraźne efekty rozwojowe dotychczas prowadzonych działań, m.in. wzrost gospodarczy we wszystkich regionach, wyrównywanie poziomu wyposażenia infrastrukturalnego, poprawę jakości zasobów ludzkich, wzmocnienie procesów zmian struktury gospodarczej. Inwestycje te nie doprowadziły jednak do znaczącego wzrostu poziomu inwestycji prywatnych i zahamowania odpływu osób, zwłaszcza młodszych i lepiej wykształconych. Poziom przedsiębiorczości, innowacyjności i inwestycji prywatnych w Polsce wschodniej nadal znacząco odbiega od średniej w kraju. Zróżnicowanie rozwoju jest tu szczególnie widoczne na poziomie podregionów (korzystniejsza sytuacja dotyczy terenów położonych w otoczeniu stolic pięciu województw). Działania rozwojowe podejmowane na rzecz wschodniej Polski będą obejmowały przedsięwzięcia w zakresie stałego podnoszenia atrakcyjności inwestycyjnej wschodniej Polski, wzmacniania konkurencyjności regionalnych gospodarek i długofalowego pobudzenia aktywności ekonomicznej w wymiarze ponadregionalnym, szczególnie na tych obszarach, gdzie procesy rozwojowe zachodzą wolniej. Kluczowe znaczenie będą miały szeroko zakrojone działania na rzecz rozwoju przedsiębiorczości i promocji postaw przedsiębiorczych, szczególnie wśród młodych mieszkańców województw wschodniej Polski. Z drugiej strony, ważne pozostają działania na rzecz poprawy dostępności tego obszaru, uzupełnienia brakującej infrastruktury jako bazy dla prowadzenia działalności gospodarczej i tworzenia dobrych miejsc pracy, a także poprawy stanu środowiska naturalnego, ochrony różnorodności biologicznej jako bazy dla rozwoju sektorów opartych na usługach ekosystemowych, jak również działania na rzecz poprawy jakości życia, które w dłuższej perspektywie mogą wpłynąć na zahamowanie depopulacji. Istotne znaczenie dla dalszego rozwoju wschodniej Polski będzie miało wsparcie zdolności instytucjonalnej podmiotów odpowiedzialnych za działania prorozwojowe, w tym również tworzenie zachęt i wzmacnianie procesu sieciowania i tworzenia partnerstw (porozumień) podmiotów administracji, biznesu, nauki i społeczeństwa w szczególności w ramach kluczowych branż/specjalizacji oraz dalsze wzmacnianie powiazań, sieciowanie i tworzenie obszarów do współpracy (…)”.</w:t>
      </w:r>
    </w:p>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lastRenderedPageBreak/>
        <w:t xml:space="preserve">W podejściu terytorialnym uwzględniono założenia i kierunki polityki regionalnej, określone w Strategii Rozwoju Województwa Lubelskiego 2030 (SRWL 2030). Jak wynika z poniższych map gminy Zielonego Zagłębia nie zostały </w:t>
      </w:r>
      <w:proofErr w:type="spellStart"/>
      <w:r>
        <w:rPr>
          <w:rFonts w:ascii="Times New Roman" w:hAnsi="Times New Roman" w:cs="Times New Roman"/>
        </w:rPr>
        <w:t>zdelimitowane</w:t>
      </w:r>
      <w:proofErr w:type="spellEnd"/>
      <w:r>
        <w:rPr>
          <w:rFonts w:ascii="Times New Roman" w:hAnsi="Times New Roman" w:cs="Times New Roman"/>
        </w:rPr>
        <w:t xml:space="preserve"> jako otoczenie rdzenia miejskiego obszaru funkcjonalnego. Miasto Łęczna zostało włączone do strefy wpływu Lubelskiego Ośrodka Metropolitalnego. Natomiast ze względów przyrodniczo-krajobrazowych wszystkie gminy Obszaru Zielonego Zagłębia zostały włączone do Obszaru Strategicznej Interwencji Polesie.</w:t>
      </w:r>
    </w:p>
    <w:p w:rsidR="00DC75FA" w:rsidRDefault="00887D84">
      <w:pPr>
        <w:pStyle w:val="Legenda"/>
        <w:rPr>
          <w:rFonts w:ascii="Times New Roman" w:hAnsi="Times New Roman" w:cs="Times New Roman"/>
          <w:sz w:val="22"/>
          <w:szCs w:val="22"/>
        </w:rPr>
      </w:pPr>
      <w:bookmarkStart w:id="28" w:name="_Toc75877427"/>
      <w:r>
        <w:rPr>
          <w:rFonts w:ascii="Times New Roman" w:hAnsi="Times New Roman" w:cs="Times New Roman"/>
          <w:sz w:val="22"/>
          <w:szCs w:val="22"/>
        </w:rPr>
        <w:t xml:space="preserve">Mapa </w:t>
      </w:r>
      <w:r>
        <w:rPr>
          <w:rFonts w:ascii="Times New Roman" w:hAnsi="Times New Roman" w:cs="Times New Roman"/>
          <w:sz w:val="22"/>
          <w:szCs w:val="22"/>
        </w:rPr>
        <w:fldChar w:fldCharType="begin"/>
      </w:r>
      <w:r>
        <w:rPr>
          <w:rFonts w:ascii="Times New Roman" w:hAnsi="Times New Roman" w:cs="Times New Roman"/>
          <w:sz w:val="22"/>
          <w:szCs w:val="22"/>
        </w:rPr>
        <w:instrText>SEQ Mapa \* ARABIC</w:instrText>
      </w:r>
      <w:r>
        <w:rPr>
          <w:rFonts w:ascii="Times New Roman" w:hAnsi="Times New Roman" w:cs="Times New Roman"/>
          <w:sz w:val="22"/>
          <w:szCs w:val="22"/>
        </w:rPr>
        <w:fldChar w:fldCharType="separate"/>
      </w:r>
      <w:r>
        <w:rPr>
          <w:rFonts w:ascii="Times New Roman" w:hAnsi="Times New Roman" w:cs="Times New Roman"/>
          <w:sz w:val="22"/>
          <w:szCs w:val="22"/>
        </w:rPr>
        <w:t>8</w:t>
      </w:r>
      <w:r>
        <w:rPr>
          <w:rFonts w:ascii="Times New Roman" w:hAnsi="Times New Roman" w:cs="Times New Roman"/>
          <w:sz w:val="22"/>
          <w:szCs w:val="22"/>
        </w:rPr>
        <w:fldChar w:fldCharType="end"/>
      </w:r>
      <w:r>
        <w:rPr>
          <w:rFonts w:ascii="Times New Roman" w:hAnsi="Times New Roman" w:cs="Times New Roman"/>
          <w:sz w:val="22"/>
          <w:szCs w:val="22"/>
        </w:rPr>
        <w:t xml:space="preserve"> Miejskie obszary funkcjonalne w województwie lubelskim, OSI Polesie i obszar Terytorialnego Planu Sprawiedliwej Transformacji</w:t>
      </w:r>
      <w:bookmarkEnd w:id="28"/>
    </w:p>
    <w:p w:rsidR="00DC75FA" w:rsidRDefault="00887D84">
      <w:pPr>
        <w:pStyle w:val="Akapitzlist"/>
        <w:ind w:left="-567"/>
        <w:rPr>
          <w:rFonts w:ascii="Times New Roman" w:hAnsi="Times New Roman" w:cs="Times New Roman"/>
        </w:rPr>
      </w:pPr>
      <w:r>
        <w:rPr>
          <w:noProof/>
          <w:lang w:eastAsia="pl-PL"/>
        </w:rPr>
        <w:drawing>
          <wp:anchor distT="0" distB="0" distL="0" distR="0" simplePos="0" relativeHeight="3" behindDoc="0" locked="0" layoutInCell="1" allowOverlap="1">
            <wp:simplePos x="0" y="0"/>
            <wp:positionH relativeFrom="column">
              <wp:posOffset>3935730</wp:posOffset>
            </wp:positionH>
            <wp:positionV relativeFrom="paragraph">
              <wp:posOffset>67945</wp:posOffset>
            </wp:positionV>
            <wp:extent cx="2110105" cy="2529840"/>
            <wp:effectExtent l="0" t="0" r="0" b="0"/>
            <wp:wrapNone/>
            <wp:docPr id="2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2"/>
                    <pic:cNvPicPr>
                      <a:picLocks noChangeAspect="1" noChangeArrowheads="1"/>
                    </pic:cNvPicPr>
                  </pic:nvPicPr>
                  <pic:blipFill>
                    <a:blip r:embed="rId32"/>
                    <a:stretch>
                      <a:fillRect/>
                    </a:stretch>
                  </pic:blipFill>
                  <pic:spPr bwMode="auto">
                    <a:xfrm>
                      <a:off x="0" y="0"/>
                      <a:ext cx="2110105" cy="2529840"/>
                    </a:xfrm>
                    <a:prstGeom prst="rect">
                      <a:avLst/>
                    </a:prstGeom>
                  </pic:spPr>
                </pic:pic>
              </a:graphicData>
            </a:graphic>
          </wp:anchor>
        </w:drawing>
      </w:r>
      <w:r>
        <w:rPr>
          <w:noProof/>
          <w:lang w:eastAsia="pl-PL"/>
        </w:rPr>
        <w:drawing>
          <wp:inline distT="0" distB="0" distL="0" distR="0">
            <wp:extent cx="2181860" cy="2620010"/>
            <wp:effectExtent l="0" t="0" r="0" b="0"/>
            <wp:docPr id="2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11"/>
                    <pic:cNvPicPr>
                      <a:picLocks noChangeAspect="1" noChangeArrowheads="1"/>
                    </pic:cNvPicPr>
                  </pic:nvPicPr>
                  <pic:blipFill>
                    <a:blip r:embed="rId33"/>
                    <a:stretch>
                      <a:fillRect/>
                    </a:stretch>
                  </pic:blipFill>
                  <pic:spPr bwMode="auto">
                    <a:xfrm>
                      <a:off x="0" y="0"/>
                      <a:ext cx="2181860" cy="2620010"/>
                    </a:xfrm>
                    <a:prstGeom prst="rect">
                      <a:avLst/>
                    </a:prstGeom>
                  </pic:spPr>
                </pic:pic>
              </a:graphicData>
            </a:graphic>
          </wp:inline>
        </w:drawing>
      </w:r>
      <w:r>
        <w:rPr>
          <w:noProof/>
          <w:lang w:eastAsia="pl-PL"/>
        </w:rPr>
        <w:drawing>
          <wp:inline distT="0" distB="0" distL="0" distR="0">
            <wp:extent cx="2045970" cy="2535555"/>
            <wp:effectExtent l="0" t="0" r="0" b="0"/>
            <wp:docPr id="2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1"/>
                    <pic:cNvPicPr>
                      <a:picLocks noChangeAspect="1" noChangeArrowheads="1"/>
                    </pic:cNvPicPr>
                  </pic:nvPicPr>
                  <pic:blipFill>
                    <a:blip r:embed="rId27"/>
                    <a:stretch>
                      <a:fillRect/>
                    </a:stretch>
                  </pic:blipFill>
                  <pic:spPr bwMode="auto">
                    <a:xfrm>
                      <a:off x="0" y="0"/>
                      <a:ext cx="2045970" cy="2535555"/>
                    </a:xfrm>
                    <a:prstGeom prst="rect">
                      <a:avLst/>
                    </a:prstGeom>
                  </pic:spPr>
                </pic:pic>
              </a:graphicData>
            </a:graphic>
          </wp:inline>
        </w:drawing>
      </w:r>
    </w:p>
    <w:p w:rsidR="00DC75FA" w:rsidRDefault="00887D84">
      <w:pPr>
        <w:pStyle w:val="Legenda"/>
        <w:rPr>
          <w:rFonts w:ascii="Times New Roman" w:hAnsi="Times New Roman" w:cs="Times New Roman"/>
        </w:rPr>
      </w:pPr>
      <w:r>
        <w:t>Źródło: Strategia Rozwoju Województwa Lubelskiego do 2030 roku , Lublin marzec 2021 oraz projekt Terytorialnego Planu Sprawiedliwej Transformacji dla Województwa Lubelskiego, Lublin maj 2021</w:t>
      </w:r>
    </w:p>
    <w:p w:rsidR="00DC75FA" w:rsidRDefault="00887D84">
      <w:pPr>
        <w:jc w:val="both"/>
        <w:rPr>
          <w:rFonts w:ascii="Times New Roman" w:hAnsi="Times New Roman" w:cs="Times New Roman"/>
        </w:rPr>
      </w:pPr>
      <w:r>
        <w:rPr>
          <w:rFonts w:ascii="Times New Roman" w:hAnsi="Times New Roman" w:cs="Times New Roman"/>
        </w:rPr>
        <w:t>Zgodnie ze Strategią Rozwoju Województwa ale przede wszystkim w wyniku wypracowania wspólnej dla Obszaru Współpracy Ponadlokalnej Zielone Zagłębie wizji rozwoju, przy opracowaniu celów rozwoju uwzględniono ustalenia i rekomendacje w zakresie kształtowania i prowadzenia polityki przestrzennej w Gminach zgodnie z modelem struktury funkcjonalno-przestrzennej województwa lubelskiego.</w:t>
      </w:r>
    </w:p>
    <w:p w:rsidR="00DC75FA" w:rsidRDefault="00887D84">
      <w:pPr>
        <w:jc w:val="both"/>
        <w:rPr>
          <w:rFonts w:ascii="Times New Roman" w:hAnsi="Times New Roman" w:cs="Times New Roman"/>
        </w:rPr>
      </w:pPr>
      <w:r>
        <w:rPr>
          <w:rFonts w:ascii="Times New Roman" w:hAnsi="Times New Roman" w:cs="Times New Roman"/>
        </w:rPr>
        <w:t>Zgodnie z zapisami Strategii Rozwoju Województwa Lubelskiego dla obszaru współpracy ponadlokalnej Zielone Zagłębie najważniejszymi walorami są walory przyrodnicze i kulturowe, które są podstawą rozwijania funkcji turystycznej i bazującej na turystyce i rekreacji specjalizacji przedsiębiorstw.</w:t>
      </w:r>
    </w:p>
    <w:p w:rsidR="00DC75FA" w:rsidRDefault="00887D84">
      <w:pPr>
        <w:jc w:val="both"/>
        <w:rPr>
          <w:rFonts w:ascii="Times New Roman" w:hAnsi="Times New Roman" w:cs="Times New Roman"/>
        </w:rPr>
      </w:pPr>
      <w:r>
        <w:rPr>
          <w:rFonts w:ascii="Times New Roman" w:hAnsi="Times New Roman" w:cs="Times New Roman"/>
        </w:rPr>
        <w:t>Nie można zapomnieć także o obszarach rolniczej przestrzeni produkcyjnej, które obejmują strefy przenikania się układu antropogenicznego i układu naturalnego. Charakteryzują się one dużym zróżnicowaniem w zakresie występującego potencjału dla produkcji roślinnej i hodowlanej. w tym kontekście wyodrębniono w Strategii Rozwoju Województwa strefę obejmującą gminy Zielonego Zagłębia, tj.: podstrefę centralną (wyżynną)-charakteryzującą się dominującym udziałem gleb wysokich klas bonitacyjnych, którą ze względu na korzystne warunki glebowo-rolnicze oraz tradycje rolnicze traktuje się jako strategiczny obszar żywicielski.</w:t>
      </w:r>
    </w:p>
    <w:p w:rsidR="00DC75FA" w:rsidRDefault="00887D84">
      <w:pPr>
        <w:jc w:val="both"/>
        <w:rPr>
          <w:rFonts w:ascii="Times New Roman" w:hAnsi="Times New Roman" w:cs="Times New Roman"/>
        </w:rPr>
      </w:pPr>
      <w:r>
        <w:rPr>
          <w:rFonts w:ascii="Times New Roman" w:hAnsi="Times New Roman" w:cs="Times New Roman"/>
        </w:rPr>
        <w:t xml:space="preserve">Na uwagę zasługuje również ogólnoświatowy trend transformacji energetycznej i przechodzenie na zieloną energię, zwłaszcza w kontekście występowania na obszarze Zielonego Zagłębia jednej z najbardziej rentownych w Polsce kopalni węgla kamiennego. Wykorzystując potencjał nasłonecznienia oraz obszary poprzemysłowe wymagające rekultywacji planowane są inwestycje w odnawialne źródła energii – farmy fotowoltaiczne, biogazownię i rozproszoną </w:t>
      </w:r>
      <w:proofErr w:type="spellStart"/>
      <w:r>
        <w:rPr>
          <w:rFonts w:ascii="Times New Roman" w:hAnsi="Times New Roman" w:cs="Times New Roman"/>
        </w:rPr>
        <w:t>prosumencką</w:t>
      </w:r>
      <w:proofErr w:type="spellEnd"/>
      <w:r>
        <w:rPr>
          <w:rFonts w:ascii="Times New Roman" w:hAnsi="Times New Roman" w:cs="Times New Roman"/>
        </w:rPr>
        <w:t xml:space="preserve"> produkcję energii elektrycznej. </w:t>
      </w:r>
    </w:p>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Jak wynika z analizy danych statystycznych, problemów społecznych obszaru w porównaniu z celami strategicznymi województwa i poszczególnych gmin obszaru Zielonego Zagłębia, trzeci filar rozwoju obszaru opiera się na infrastrukturze zaspokajającej wszystkie potrzeby społeczne – od edukacji przez opiekę nad osobami zależnymi i wsparcie osób zagrożonych wykluczeniem po potrzeby wyższego poziomu życia społecznego – dostęp do kultury, rekreacji, wypoczynku i relacji społecznych. Ze względu na dostępność istniejących instytucji oraz możliwość rozbudowy i modernizacji już istniejącej infrastruktury, z uwagi na dostępność komunikacyjną obszary tego rodzaju interwencji skupiają się głównie w miejscowościach centralnych – siedzibach władz danej gminy.</w:t>
      </w:r>
    </w:p>
    <w:p w:rsidR="00DC75FA" w:rsidRDefault="00887D84">
      <w:pPr>
        <w:jc w:val="both"/>
        <w:rPr>
          <w:rFonts w:ascii="Times New Roman" w:hAnsi="Times New Roman" w:cs="Times New Roman"/>
          <w:i/>
          <w:iCs/>
        </w:rPr>
      </w:pPr>
      <w:r>
        <w:rPr>
          <w:rFonts w:ascii="Times New Roman" w:hAnsi="Times New Roman" w:cs="Times New Roman"/>
        </w:rPr>
        <w:t xml:space="preserve">Do opracowania przestrzennej struktury realizacji celów Strategii Obszaru Zielone Zagłębie przyczyniło się również wyznaczenie terytoriów, które będą najbardziej dotknięte negatywnymi skutkami spodziewanego procesu transformacji w kierunku gospodarki neutralnej dla klimatu, zgodnie z celami krajowych planów w dziedzinie energii i klimatu oraz innych istniejących planów transformacji. Województwo lubelskie odznacza się na tle pozostałych regionów węglowych początkowym etapem transformacji energetycznej, co stwarza unikalną szansę przeprowadzenia procesu w sposób efektywny i przewidywalny, pozwalający z wyprzedzeniem łagodzić jego społeczne, gospodarcze i środowiskowe skutki. Nie ulega wątpliwości, że region lubelski znacznie silniej odczuje negatywne konsekwencje transformacji, gdyż charakteryzuje się niekorzystnymi wskaźnikami w porównaniu z innymi regionami węglowymi: najniższym PKB na mieszkańca, peryferyjnym położeniem w przestrzeni kraju i UE, nisko produktywną gospodarką, bardzo niskim poziomem przedsiębiorczości, innowacyjności i atrakcyjności inwestycyjnej, najwyższym poziomem ubóstwa, a także najwyższym i rosnącym odpływem osób w wieku przed- i produkcyjnym. Bogdanka wyróżnia się na tle pozostałych kopalń z terenu całej Polski pod względem osiąganych wyników finansowych i wydajności wydobycia węgla kamiennego, a przy tym jest jednym z największych pracodawców i przedsiębiorstw w regionie. Zgodnie z projektem Terytorialnego Planu Sprawiedliwej Transformacji dla Województwa Lubelskiego: </w:t>
      </w:r>
      <w:r>
        <w:rPr>
          <w:rFonts w:ascii="Times New Roman" w:hAnsi="Times New Roman" w:cs="Times New Roman"/>
          <w:i/>
          <w:iCs/>
        </w:rPr>
        <w:t>„W pierwszym etapie do 2030 r. planuje się redukcję wydobycia węgla energetycznego – z 9,7 mln Mg średniorocznie w latach 2021-25 do 6,5 mln Mg w 2030 r. (spadek o 33,2%), a w drugim etapie od 2040 r. średniorocznie do 2,5 mln Mg (dalszy spadek o 74%). Jednocześnie prowadzone będzie wydobycie węgla koksowego, znajdującego się na liście surowców krytycznych dla UE, na poziomie średnio 1,78 mln Mg w latach 2026-302. Zmniejszenie wydobycia węgla energetycznego w Bogdance stanowić będzie 15% planowanej zgodnie z </w:t>
      </w:r>
      <w:proofErr w:type="spellStart"/>
      <w:r>
        <w:rPr>
          <w:rFonts w:ascii="Times New Roman" w:hAnsi="Times New Roman" w:cs="Times New Roman"/>
          <w:i/>
          <w:iCs/>
        </w:rPr>
        <w:t>KPEiK</w:t>
      </w:r>
      <w:proofErr w:type="spellEnd"/>
      <w:r>
        <w:rPr>
          <w:rFonts w:ascii="Times New Roman" w:hAnsi="Times New Roman" w:cs="Times New Roman"/>
          <w:i/>
          <w:iCs/>
        </w:rPr>
        <w:t xml:space="preserve"> krajowej redukcji wydobycia tego surowca do 2030 r. i 28% redukcji planowanej do 2040</w:t>
      </w:r>
      <w:r>
        <w:rPr>
          <w:i/>
          <w:iCs/>
        </w:rPr>
        <w:t xml:space="preserve"> </w:t>
      </w:r>
      <w:r>
        <w:rPr>
          <w:rFonts w:ascii="Times New Roman" w:hAnsi="Times New Roman" w:cs="Times New Roman"/>
          <w:i/>
          <w:iCs/>
        </w:rPr>
        <w:t xml:space="preserve">r. Przyczyni się także do osiągnięcia celu </w:t>
      </w:r>
      <w:proofErr w:type="spellStart"/>
      <w:r>
        <w:rPr>
          <w:rFonts w:ascii="Times New Roman" w:hAnsi="Times New Roman" w:cs="Times New Roman"/>
          <w:i/>
          <w:iCs/>
        </w:rPr>
        <w:t>KPEiK</w:t>
      </w:r>
      <w:proofErr w:type="spellEnd"/>
      <w:r>
        <w:rPr>
          <w:rFonts w:ascii="Times New Roman" w:hAnsi="Times New Roman" w:cs="Times New Roman"/>
          <w:i/>
          <w:iCs/>
        </w:rPr>
        <w:t xml:space="preserve"> dotyczącego zmniejszenia udziału węgla w wytwarzaniu energii elektrycznej do 56-60%.</w:t>
      </w:r>
    </w:p>
    <w:p w:rsidR="00DC75FA" w:rsidRDefault="00887D84">
      <w:pPr>
        <w:jc w:val="both"/>
        <w:rPr>
          <w:rFonts w:ascii="Times New Roman" w:hAnsi="Times New Roman" w:cs="Times New Roman"/>
          <w:i/>
          <w:iCs/>
        </w:rPr>
      </w:pPr>
      <w:r>
        <w:rPr>
          <w:rFonts w:ascii="Times New Roman" w:hAnsi="Times New Roman" w:cs="Times New Roman"/>
          <w:i/>
          <w:iCs/>
        </w:rPr>
        <w:t xml:space="preserve">W ramach transformacji planowana jest stopniowa dywersyfikacja działalności GK LWB, a także zwiększanie udziału </w:t>
      </w:r>
      <w:proofErr w:type="spellStart"/>
      <w:r>
        <w:rPr>
          <w:rFonts w:ascii="Times New Roman" w:hAnsi="Times New Roman" w:cs="Times New Roman"/>
          <w:i/>
          <w:iCs/>
        </w:rPr>
        <w:t>pozagórniczych</w:t>
      </w:r>
      <w:proofErr w:type="spellEnd"/>
      <w:r>
        <w:rPr>
          <w:rFonts w:ascii="Times New Roman" w:hAnsi="Times New Roman" w:cs="Times New Roman"/>
          <w:i/>
          <w:iCs/>
        </w:rPr>
        <w:t xml:space="preserve"> i zielonych inicjatyw, m.in. GOZ</w:t>
      </w:r>
      <w:r>
        <w:rPr>
          <w:rStyle w:val="Zakotwiczenieprzypisudolnego"/>
          <w:rFonts w:ascii="Times New Roman" w:hAnsi="Times New Roman" w:cs="Times New Roman"/>
          <w:i/>
          <w:iCs/>
        </w:rPr>
        <w:footnoteReference w:id="2"/>
      </w:r>
      <w:r>
        <w:rPr>
          <w:rFonts w:ascii="Times New Roman" w:hAnsi="Times New Roman" w:cs="Times New Roman"/>
          <w:i/>
          <w:iCs/>
        </w:rPr>
        <w:t xml:space="preserve">, produkcji komponentów dla technologii OZE, rozwoju OZE oraz zagospodarowania (rewitalizacji) powierzchni po działalności górniczej, które w 2030 r. stanowić będą co najmniej 10% przychodów Spółki, a w kolejnym etapie – do </w:t>
      </w:r>
      <w:r>
        <w:rPr>
          <w:rFonts w:ascii="Times New Roman" w:hAnsi="Times New Roman" w:cs="Times New Roman"/>
          <w:i/>
          <w:iCs/>
        </w:rPr>
        <w:lastRenderedPageBreak/>
        <w:t>2040 – 30%. Planowane jest przebranżowienie i przechodzenie części pracowników zatrudnionych dotąd w górnictwie na nowe, zielone miejsca pracy tworzone w ramach Grupy. Podobne inwestycje, wspierające dywersyfikację, GOZ i zwiększenie efektywności energetycznej, a także dekarbonizację oraz przekwalifikowanie pracowników i tworzenie miejsc pracy, prowadzone będą również w innych przedsiębiorstwach z branży okołogórniczej i wysokoemisyjnej.</w:t>
      </w:r>
    </w:p>
    <w:p w:rsidR="00DC75FA" w:rsidRDefault="00887D84">
      <w:pPr>
        <w:jc w:val="both"/>
        <w:rPr>
          <w:rFonts w:ascii="Times New Roman" w:hAnsi="Times New Roman" w:cs="Times New Roman"/>
          <w:i/>
          <w:iCs/>
        </w:rPr>
      </w:pPr>
      <w:r>
        <w:rPr>
          <w:rFonts w:ascii="Times New Roman" w:hAnsi="Times New Roman" w:cs="Times New Roman"/>
          <w:i/>
          <w:iCs/>
        </w:rPr>
        <w:t xml:space="preserve">Istotnym celem transformacji i przygotowania do osiągnięcia neutralności klimatycznej będzie zwiększenie znaczenia lokalnej energetyki w oparciu o OZE, co wpisuje się w cel </w:t>
      </w:r>
      <w:proofErr w:type="spellStart"/>
      <w:r>
        <w:rPr>
          <w:rFonts w:ascii="Times New Roman" w:hAnsi="Times New Roman" w:cs="Times New Roman"/>
          <w:i/>
          <w:iCs/>
        </w:rPr>
        <w:t>KPEiK</w:t>
      </w:r>
      <w:proofErr w:type="spellEnd"/>
      <w:r>
        <w:rPr>
          <w:rFonts w:ascii="Times New Roman" w:hAnsi="Times New Roman" w:cs="Times New Roman"/>
          <w:i/>
          <w:iCs/>
        </w:rPr>
        <w:t xml:space="preserve"> - rozwój obszarów zrównoważonych energetycznie na poziomie lokalnym. Rozwój OZE, zgodnie z potencjałem regionu oparty głównie na energii słonecznej, a także – uzupełniająco – biomasie i geotermii, nie tylko zmniejszy poziom zanieczyszczenia powietrza, poprawi jakość życia mieszkańców oraz zaopatrzenie w energię elektryczną terenów o słabo rozwiniętej infrastrukturze energetycznej, lecz także umożliwi tworzenie nowych, zielonych miejsc pracy, a tym samym będzie stymulował wzrost zatrudnienia w regionie. Zakłada się zwiększenie udziału OZE w produkcji energii elektrycznej na OT z obecnego poziomu do 45% w 2030 r., co wpłynie na osiąganie określonego w </w:t>
      </w:r>
      <w:proofErr w:type="spellStart"/>
      <w:r>
        <w:rPr>
          <w:rFonts w:ascii="Times New Roman" w:hAnsi="Times New Roman" w:cs="Times New Roman"/>
          <w:i/>
          <w:iCs/>
        </w:rPr>
        <w:t>KPEiK</w:t>
      </w:r>
      <w:proofErr w:type="spellEnd"/>
      <w:r>
        <w:rPr>
          <w:rFonts w:ascii="Times New Roman" w:hAnsi="Times New Roman" w:cs="Times New Roman"/>
          <w:i/>
          <w:iCs/>
        </w:rPr>
        <w:t xml:space="preserve"> celu 23% udziału OZE w finalnym zużyciu energii. W związku z bardzo wysokim stopniem zależności przedsiębiorstw energetyki cieplnej3 i sektora komunalno-bytowego4 na OT od węgla oraz ich dominującym wpływem na jakość powietrza (emisję tlenków siarki, pyłów PM 2,5 i 10 oraz </w:t>
      </w:r>
      <w:proofErr w:type="spellStart"/>
      <w:r>
        <w:rPr>
          <w:rFonts w:ascii="Times New Roman" w:hAnsi="Times New Roman" w:cs="Times New Roman"/>
          <w:i/>
          <w:iCs/>
        </w:rPr>
        <w:t>BaP</w:t>
      </w:r>
      <w:proofErr w:type="spellEnd"/>
      <w:r>
        <w:rPr>
          <w:rFonts w:ascii="Times New Roman" w:hAnsi="Times New Roman" w:cs="Times New Roman"/>
          <w:i/>
          <w:iCs/>
        </w:rPr>
        <w:t>, a także lokalną emisję CO25), dla ograniczenia emisji zanieczyszczeń gazowych, a zarazem przeciwdziałania ubóstwu energetycznemu, niezbędna będzie realizacja systemowych działań obejmujących: poprawę efektywności energetycznej budynków, obiektów i procesów, jak również przestawienie systemów i indywidualnych źródeł zaopatrzenia w ciepło na technologie nisko- i zeroemisyjne. Planuje się stopniowe zmniejszanie, a docelowo zaprzestanie do 2040 roku wykorzystania węgla w ciepłownictwie.</w:t>
      </w:r>
    </w:p>
    <w:p w:rsidR="00DC75FA" w:rsidRDefault="00887D84">
      <w:pPr>
        <w:jc w:val="both"/>
        <w:rPr>
          <w:rFonts w:ascii="Times New Roman" w:hAnsi="Times New Roman" w:cs="Times New Roman"/>
        </w:rPr>
      </w:pPr>
      <w:r>
        <w:rPr>
          <w:rFonts w:ascii="Times New Roman" w:hAnsi="Times New Roman" w:cs="Times New Roman"/>
          <w:i/>
          <w:iCs/>
        </w:rPr>
        <w:t xml:space="preserve">Zakłada się, że w wyniku wszystkich ww. działań nastąpi ograniczenie emisji CO2 z poziomu 1,92 mln t/r w 2019 r. do 1,25 mln t/r do 2030 r., czyli o 35%. Ponadto, do 2030 przeprowadzone zostaną kompleksowe prace badawczo-projektowe dot. przyszłego zagospodarowania i rewitalizacji terenów </w:t>
      </w:r>
      <w:proofErr w:type="spellStart"/>
      <w:r>
        <w:rPr>
          <w:rFonts w:ascii="Times New Roman" w:hAnsi="Times New Roman" w:cs="Times New Roman"/>
          <w:i/>
          <w:iCs/>
        </w:rPr>
        <w:t>pogórniczych</w:t>
      </w:r>
      <w:proofErr w:type="spellEnd"/>
      <w:r>
        <w:rPr>
          <w:rFonts w:ascii="Times New Roman" w:hAnsi="Times New Roman" w:cs="Times New Roman"/>
          <w:i/>
          <w:iCs/>
        </w:rPr>
        <w:t>, a także pierwsze pilotażowe przedsięwzięcia umożliwiające ich wykorzystanie m.in. na cele inwestycyjne oraz turystyczno-rekreacyjne</w:t>
      </w:r>
      <w:r>
        <w:rPr>
          <w:rFonts w:ascii="Times New Roman" w:hAnsi="Times New Roman" w:cs="Times New Roman"/>
        </w:rPr>
        <w:t>.”</w:t>
      </w:r>
    </w:p>
    <w:p w:rsidR="00DC75FA" w:rsidRDefault="00887D84">
      <w:r>
        <w:rPr>
          <w:rFonts w:ascii="Times New Roman" w:hAnsi="Times New Roman" w:cs="Times New Roman"/>
        </w:rPr>
        <w:t>Jak wynika z powyższego opisu wszystkie wyzwania rozwojowe zostały ujęte w wypracowanej jeszcze w 2020 roku koncepcji rozwojowej obszaru Zielonego Zagłębia opartej na 3 celach:</w:t>
      </w:r>
      <w:r>
        <w:t xml:space="preserve"> </w:t>
      </w:r>
    </w:p>
    <w:p w:rsidR="00DC75FA" w:rsidRDefault="00887D84">
      <w:pPr>
        <w:pStyle w:val="Akapitzlist"/>
        <w:numPr>
          <w:ilvl w:val="0"/>
          <w:numId w:val="19"/>
        </w:numPr>
        <w:rPr>
          <w:rFonts w:ascii="Times New Roman" w:hAnsi="Times New Roman" w:cs="Times New Roman"/>
        </w:rPr>
      </w:pPr>
      <w:r>
        <w:rPr>
          <w:rFonts w:ascii="Times New Roman" w:hAnsi="Times New Roman" w:cs="Times New Roman"/>
        </w:rPr>
        <w:t>Innowacyjny rozwój gospodarki oparty na systemie edukacji, lokalnym potencjale przyrodniczym i sieciach powiązań;</w:t>
      </w:r>
    </w:p>
    <w:p w:rsidR="00DC75FA" w:rsidRDefault="00887D84">
      <w:pPr>
        <w:pStyle w:val="Akapitzlist"/>
        <w:numPr>
          <w:ilvl w:val="0"/>
          <w:numId w:val="19"/>
        </w:numPr>
        <w:rPr>
          <w:rFonts w:ascii="Times New Roman" w:hAnsi="Times New Roman" w:cs="Times New Roman"/>
        </w:rPr>
      </w:pPr>
      <w:r>
        <w:rPr>
          <w:rFonts w:ascii="Times New Roman" w:hAnsi="Times New Roman" w:cs="Times New Roman"/>
        </w:rPr>
        <w:t xml:space="preserve">Ochrona walorów środowiska i działania </w:t>
      </w:r>
      <w:proofErr w:type="spellStart"/>
      <w:r>
        <w:rPr>
          <w:rFonts w:ascii="Times New Roman" w:hAnsi="Times New Roman" w:cs="Times New Roman"/>
        </w:rPr>
        <w:t>mitygacyjne</w:t>
      </w:r>
      <w:proofErr w:type="spellEnd"/>
      <w:r>
        <w:rPr>
          <w:rFonts w:ascii="Times New Roman" w:hAnsi="Times New Roman" w:cs="Times New Roman"/>
        </w:rPr>
        <w:t xml:space="preserve"> (zapobiegawcze);</w:t>
      </w:r>
    </w:p>
    <w:p w:rsidR="00DC75FA" w:rsidRDefault="00887D84">
      <w:pPr>
        <w:pStyle w:val="Akapitzlist"/>
        <w:numPr>
          <w:ilvl w:val="0"/>
          <w:numId w:val="19"/>
        </w:numPr>
        <w:rPr>
          <w:rFonts w:ascii="Times New Roman" w:hAnsi="Times New Roman" w:cs="Times New Roman"/>
        </w:rPr>
      </w:pPr>
      <w:r>
        <w:rPr>
          <w:rFonts w:ascii="Times New Roman" w:hAnsi="Times New Roman" w:cs="Times New Roman"/>
        </w:rPr>
        <w:t xml:space="preserve">Przeciwdziałanie wykluczeniu i profilaktyka, wsparcie grup </w:t>
      </w:r>
      <w:proofErr w:type="spellStart"/>
      <w:r>
        <w:rPr>
          <w:rFonts w:ascii="Times New Roman" w:hAnsi="Times New Roman" w:cs="Times New Roman"/>
        </w:rPr>
        <w:t>defaworyzowanych</w:t>
      </w:r>
      <w:proofErr w:type="spellEnd"/>
      <w:r>
        <w:rPr>
          <w:rFonts w:ascii="Times New Roman" w:hAnsi="Times New Roman" w:cs="Times New Roman"/>
        </w:rPr>
        <w:t>,</w:t>
      </w:r>
    </w:p>
    <w:p w:rsidR="00DC75FA" w:rsidRDefault="00DC75FA">
      <w:pPr>
        <w:pStyle w:val="Akapitzlist"/>
        <w:jc w:val="both"/>
        <w:rPr>
          <w:rFonts w:ascii="Times New Roman" w:hAnsi="Times New Roman" w:cs="Times New Roman"/>
        </w:rPr>
      </w:pPr>
    </w:p>
    <w:p w:rsidR="00DC75FA" w:rsidRDefault="00887D84">
      <w:pPr>
        <w:rPr>
          <w:rFonts w:ascii="Times New Roman" w:hAnsi="Times New Roman" w:cs="Times New Roman"/>
        </w:rPr>
      </w:pPr>
      <w:r>
        <w:rPr>
          <w:rFonts w:ascii="Times New Roman" w:hAnsi="Times New Roman" w:cs="Times New Roman"/>
        </w:rPr>
        <w:t>Na etapie definiowania celów i kierunków działań Strategii Obszaru Zielonego Zagłębia uwzględniono wykorzystanie dostępnych instrumentów rozwoju terytorialnego, które gwarantować powinny większą efektywność angażowanych środków publicznych, selektywność podejścia, realizację wspólnych, zintegrowanych projektów oraz spójność rozwojową. Wykorzystano też wnioski z analizy sytuacji społeczno-gospodarczej oraz wyniki procesu partycypacji społecznej, w ramach którego wskazano przedsięwzięcia bazujące na rozwinięciu potencjałów obszaru oraz rozwoju jego przewag konkurencyjnych.</w:t>
      </w:r>
    </w:p>
    <w:p w:rsidR="00DC75FA" w:rsidRDefault="00887D84">
      <w:pPr>
        <w:rPr>
          <w:rFonts w:ascii="Times New Roman" w:hAnsi="Times New Roman" w:cs="Times New Roman"/>
        </w:rPr>
      </w:pPr>
      <w:r>
        <w:rPr>
          <w:rFonts w:ascii="Times New Roman" w:hAnsi="Times New Roman" w:cs="Times New Roman"/>
        </w:rPr>
        <w:t>W ujęciu terytorialnym cele Strategii przedstawiają się następująco:</w:t>
      </w:r>
    </w:p>
    <w:tbl>
      <w:tblPr>
        <w:tblStyle w:val="GridTable4Accent5"/>
        <w:tblW w:w="9203" w:type="dxa"/>
        <w:tblLook w:val="04A0" w:firstRow="1" w:lastRow="0" w:firstColumn="1" w:lastColumn="0" w:noHBand="0" w:noVBand="1"/>
      </w:tblPr>
      <w:tblGrid>
        <w:gridCol w:w="9203"/>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Borders>
              <w:top w:val="single" w:sz="4" w:space="0" w:color="4472C4"/>
              <w:left w:val="single" w:sz="4" w:space="0" w:color="4472C4"/>
              <w:bottom w:val="single" w:sz="4" w:space="0" w:color="4472C4"/>
              <w:right w:val="single" w:sz="4" w:space="0" w:color="4472C4"/>
            </w:tcBorders>
            <w:shd w:val="clear" w:color="auto" w:fill="2E74B5" w:themeFill="accent1" w:themeFillShade="BF"/>
          </w:tcPr>
          <w:p w:rsidR="00DC75FA" w:rsidRDefault="00887D84">
            <w:pPr>
              <w:spacing w:after="0" w:line="240" w:lineRule="auto"/>
              <w:rPr>
                <w:rFonts w:ascii="Times New Roman" w:hAnsi="Times New Roman" w:cs="Times New Roman"/>
              </w:rPr>
            </w:pPr>
            <w:r>
              <w:rPr>
                <w:rFonts w:ascii="Times New Roman" w:hAnsi="Times New Roman" w:cs="Times New Roman"/>
              </w:rPr>
              <w:t>Cel: Innowacyjny rozwój gospodarki oparty na systemie edukacji, lokalnym potencjale przyrodniczym i sieciach powiązań</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rsidR="00DC75FA" w:rsidRDefault="00887D84">
            <w:pPr>
              <w:spacing w:after="0" w:line="240" w:lineRule="auto"/>
              <w:rPr>
                <w:rFonts w:ascii="Times New Roman" w:hAnsi="Times New Roman" w:cs="Times New Roman"/>
              </w:rPr>
            </w:pPr>
            <w:r>
              <w:rPr>
                <w:rFonts w:ascii="Times New Roman" w:hAnsi="Times New Roman" w:cs="Times New Roman"/>
              </w:rPr>
              <w:t xml:space="preserve">Kierunki: </w:t>
            </w:r>
          </w:p>
          <w:p w:rsidR="00DC75FA" w:rsidRDefault="00887D84">
            <w:pPr>
              <w:pStyle w:val="Akapitzlist"/>
              <w:numPr>
                <w:ilvl w:val="0"/>
                <w:numId w:val="20"/>
              </w:numPr>
              <w:spacing w:after="0" w:line="240" w:lineRule="auto"/>
              <w:rPr>
                <w:rFonts w:ascii="Times New Roman" w:hAnsi="Times New Roman" w:cs="Times New Roman"/>
              </w:rPr>
            </w:pPr>
            <w:r>
              <w:rPr>
                <w:rFonts w:ascii="Times New Roman" w:hAnsi="Times New Roman" w:cs="Times New Roman"/>
              </w:rPr>
              <w:t xml:space="preserve">Rewaloryzacja – zagospodarowanie przestrzeni na cele rekreacyjno-turystyczne, w tym zagospodarowanie terenów rekreacyjnych (zbiorników wodnych z otoczeniem, hałd </w:t>
            </w:r>
            <w:proofErr w:type="spellStart"/>
            <w:r>
              <w:rPr>
                <w:rFonts w:ascii="Times New Roman" w:hAnsi="Times New Roman" w:cs="Times New Roman"/>
              </w:rPr>
              <w:lastRenderedPageBreak/>
              <w:t>pogórniczych</w:t>
            </w:r>
            <w:proofErr w:type="spellEnd"/>
            <w:r>
              <w:rPr>
                <w:rFonts w:ascii="Times New Roman" w:hAnsi="Times New Roman" w:cs="Times New Roman"/>
              </w:rPr>
              <w:t>, ścieżek przyrodniczych, tras pieszo-rowerowych, pól golfowych, parków linowych, pól golfowych, terenów tras dla quadów itp.),</w:t>
            </w:r>
          </w:p>
          <w:p w:rsidR="00DC75FA" w:rsidRDefault="00887D84">
            <w:pPr>
              <w:pStyle w:val="Akapitzlist"/>
              <w:numPr>
                <w:ilvl w:val="0"/>
                <w:numId w:val="4"/>
              </w:numPr>
              <w:spacing w:after="0" w:line="240" w:lineRule="auto"/>
              <w:jc w:val="both"/>
              <w:rPr>
                <w:rFonts w:ascii="Times New Roman" w:hAnsi="Times New Roman" w:cs="Times New Roman"/>
              </w:rPr>
            </w:pPr>
            <w:r>
              <w:rPr>
                <w:rFonts w:ascii="Times New Roman" w:hAnsi="Times New Roman" w:cs="Times New Roman"/>
              </w:rPr>
              <w:t xml:space="preserve">Wzbogacenie oferty turystycznej poprzez wyeksponowanie w ofercie walorów przyrodniczych, kulturowych (zabytki oraz wydarzenia kulturalne) oraz rekreacyjnych wraz z towarzyszącymi inwestycjami w tym zakresie [np. renowacja zabytków, tworzenie ścieżek dydaktycznych na obszarach chronionych, rozbudowa infrastruktury kultury, itp.], </w:t>
            </w:r>
          </w:p>
          <w:p w:rsidR="00DC75FA" w:rsidRDefault="00887D84">
            <w:pPr>
              <w:pStyle w:val="Akapitzlist"/>
              <w:numPr>
                <w:ilvl w:val="0"/>
                <w:numId w:val="4"/>
              </w:numPr>
              <w:spacing w:after="0" w:line="240" w:lineRule="auto"/>
              <w:jc w:val="both"/>
              <w:rPr>
                <w:rFonts w:ascii="Times New Roman" w:hAnsi="Times New Roman" w:cs="Times New Roman"/>
              </w:rPr>
            </w:pPr>
            <w:r>
              <w:rPr>
                <w:rFonts w:ascii="Times New Roman" w:hAnsi="Times New Roman" w:cs="Times New Roman"/>
              </w:rPr>
              <w:t>Wyznaczenie i uzbrojenie terenów inwestycyjnych pod przemysły strategiczne, w tym okołoturystyczny i usług sportowo-rekreacyjnych</w:t>
            </w:r>
          </w:p>
          <w:p w:rsidR="00DC75FA" w:rsidRDefault="00887D84">
            <w:pPr>
              <w:pStyle w:val="Akapitzlist"/>
              <w:numPr>
                <w:ilvl w:val="0"/>
                <w:numId w:val="4"/>
              </w:numPr>
              <w:spacing w:after="0" w:line="240" w:lineRule="auto"/>
              <w:jc w:val="both"/>
              <w:rPr>
                <w:rFonts w:ascii="Times New Roman" w:hAnsi="Times New Roman" w:cs="Times New Roman"/>
              </w:rPr>
            </w:pPr>
            <w:r>
              <w:rPr>
                <w:rFonts w:ascii="Times New Roman" w:hAnsi="Times New Roman" w:cs="Times New Roman"/>
              </w:rPr>
              <w:t>Współpraca z jednostkami badawczo-rozwojowymi – utworzenie instytucji otoczenia biznesu, w tym inkubatora zielonych miejsc pracy,</w:t>
            </w:r>
          </w:p>
          <w:p w:rsidR="00DC75FA" w:rsidRDefault="00887D84">
            <w:pPr>
              <w:pStyle w:val="Akapitzlist"/>
              <w:numPr>
                <w:ilvl w:val="0"/>
                <w:numId w:val="4"/>
              </w:numPr>
              <w:spacing w:after="0" w:line="240" w:lineRule="auto"/>
              <w:jc w:val="both"/>
              <w:rPr>
                <w:rFonts w:ascii="Times New Roman" w:hAnsi="Times New Roman" w:cs="Times New Roman"/>
              </w:rPr>
            </w:pPr>
            <w:bookmarkStart w:id="29" w:name="_Hlk75721748"/>
            <w:r>
              <w:rPr>
                <w:rFonts w:ascii="Times New Roman" w:hAnsi="Times New Roman" w:cs="Times New Roman"/>
              </w:rPr>
              <w:t>Stworzenie warunków opieki nad dziećmi osób powracających na rynek pracy (punkty przedszkolne, kluby dziecięce, przedszkola)</w:t>
            </w:r>
            <w:bookmarkEnd w:id="29"/>
          </w:p>
          <w:p w:rsidR="00DC75FA" w:rsidRDefault="00887D84">
            <w:pPr>
              <w:pStyle w:val="Akapitzlist"/>
              <w:numPr>
                <w:ilvl w:val="0"/>
                <w:numId w:val="4"/>
              </w:numPr>
              <w:spacing w:after="0" w:line="240" w:lineRule="auto"/>
              <w:jc w:val="both"/>
              <w:rPr>
                <w:rFonts w:ascii="Times New Roman" w:hAnsi="Times New Roman" w:cs="Times New Roman"/>
              </w:rPr>
            </w:pPr>
            <w:r>
              <w:rPr>
                <w:rFonts w:ascii="Times New Roman" w:hAnsi="Times New Roman" w:cs="Times New Roman"/>
              </w:rPr>
              <w:t>Realizacja dodatkowych zajęć edukacyjnych, system praktyk w przedsiębiorstwach strategicznych sektorów</w:t>
            </w:r>
          </w:p>
          <w:p w:rsidR="00DC75FA" w:rsidRDefault="00887D84">
            <w:pPr>
              <w:pStyle w:val="Akapitzlist"/>
              <w:numPr>
                <w:ilvl w:val="0"/>
                <w:numId w:val="4"/>
              </w:numPr>
              <w:spacing w:after="0" w:line="240" w:lineRule="auto"/>
              <w:jc w:val="both"/>
              <w:rPr>
                <w:rFonts w:ascii="Times New Roman" w:hAnsi="Times New Roman" w:cs="Times New Roman"/>
              </w:rPr>
            </w:pPr>
            <w:r>
              <w:rPr>
                <w:rFonts w:ascii="Times New Roman" w:hAnsi="Times New Roman" w:cs="Times New Roman"/>
              </w:rPr>
              <w:t>Pozyskiwanie dotacji na rozwój działalności gospodarczej w strategicznych sektorach,</w:t>
            </w:r>
          </w:p>
          <w:p w:rsidR="00DC75FA" w:rsidRDefault="00887D84">
            <w:pPr>
              <w:pStyle w:val="Akapitzlist"/>
              <w:numPr>
                <w:ilvl w:val="0"/>
                <w:numId w:val="4"/>
              </w:numPr>
              <w:spacing w:after="0" w:line="240" w:lineRule="auto"/>
              <w:jc w:val="both"/>
              <w:rPr>
                <w:rFonts w:ascii="Times New Roman" w:hAnsi="Times New Roman" w:cs="Times New Roman"/>
              </w:rPr>
            </w:pPr>
            <w:r>
              <w:rPr>
                <w:rFonts w:ascii="Times New Roman" w:hAnsi="Times New Roman" w:cs="Times New Roman"/>
              </w:rPr>
              <w:t>Rozwój przetwórstwa rolno-spożywczego, w tym specjalizacja upraw ekologicznych, ziół, warzyw i owoców,</w:t>
            </w:r>
            <w:bookmarkStart w:id="30" w:name="_Hlk75722059"/>
            <w:bookmarkEnd w:id="30"/>
          </w:p>
          <w:p w:rsidR="00DC75FA" w:rsidRDefault="00DC75FA">
            <w:pPr>
              <w:spacing w:after="0" w:line="240" w:lineRule="auto"/>
              <w:rPr>
                <w:rFonts w:ascii="Times New Roman" w:hAnsi="Times New Roman" w:cs="Times New Roman"/>
              </w:rPr>
            </w:pPr>
          </w:p>
        </w:tc>
      </w:tr>
      <w:tr w:rsidR="00DC75FA" w:rsidTr="00DC75FA">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rsidR="00DC75FA" w:rsidRDefault="00887D84">
            <w:pPr>
              <w:spacing w:after="0" w:line="240" w:lineRule="auto"/>
              <w:rPr>
                <w:rFonts w:ascii="Times New Roman" w:hAnsi="Times New Roman" w:cs="Times New Roman"/>
              </w:rPr>
            </w:pPr>
            <w:r>
              <w:rPr>
                <w:rFonts w:ascii="Times New Roman" w:hAnsi="Times New Roman" w:cs="Times New Roman"/>
              </w:rPr>
              <w:lastRenderedPageBreak/>
              <w:t xml:space="preserve">Cel: Ochrona walorów środowiska i działania </w:t>
            </w:r>
            <w:proofErr w:type="spellStart"/>
            <w:r>
              <w:rPr>
                <w:rFonts w:ascii="Times New Roman" w:hAnsi="Times New Roman" w:cs="Times New Roman"/>
              </w:rPr>
              <w:t>mitygacyjne</w:t>
            </w:r>
            <w:proofErr w:type="spellEnd"/>
            <w:r>
              <w:rPr>
                <w:rFonts w:ascii="Times New Roman" w:hAnsi="Times New Roman" w:cs="Times New Roman"/>
              </w:rPr>
              <w:t xml:space="preserve"> (zapobiegawcze)</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rsidR="00DC75FA" w:rsidRDefault="00887D84">
            <w:pPr>
              <w:spacing w:after="0" w:line="240" w:lineRule="auto"/>
              <w:rPr>
                <w:rFonts w:ascii="Times New Roman" w:hAnsi="Times New Roman" w:cs="Times New Roman"/>
              </w:rPr>
            </w:pPr>
            <w:r>
              <w:rPr>
                <w:rFonts w:ascii="Times New Roman" w:hAnsi="Times New Roman" w:cs="Times New Roman"/>
              </w:rPr>
              <w:t xml:space="preserve">Kierunki: </w:t>
            </w:r>
          </w:p>
          <w:p w:rsidR="00DC75FA" w:rsidRDefault="00887D84">
            <w:pPr>
              <w:pStyle w:val="Akapitzlist"/>
              <w:numPr>
                <w:ilvl w:val="1"/>
                <w:numId w:val="6"/>
              </w:numPr>
              <w:tabs>
                <w:tab w:val="left" w:pos="1276"/>
              </w:tabs>
              <w:spacing w:after="0" w:line="240" w:lineRule="auto"/>
              <w:ind w:left="709" w:hanging="425"/>
              <w:jc w:val="both"/>
              <w:rPr>
                <w:rFonts w:ascii="Times New Roman" w:hAnsi="Times New Roman" w:cs="Times New Roman"/>
              </w:rPr>
            </w:pPr>
            <w:r>
              <w:rPr>
                <w:rFonts w:ascii="Times New Roman" w:hAnsi="Times New Roman" w:cs="Times New Roman"/>
              </w:rPr>
              <w:t>Dalsza rozbudowa sieci wodno-kanalizacyjnej, modernizacja stacji uzdatniania wody i istniejących sieci,</w:t>
            </w:r>
          </w:p>
          <w:p w:rsidR="00DC75FA" w:rsidRDefault="00887D84">
            <w:pPr>
              <w:pStyle w:val="Akapitzlist"/>
              <w:numPr>
                <w:ilvl w:val="1"/>
                <w:numId w:val="6"/>
              </w:numPr>
              <w:tabs>
                <w:tab w:val="left" w:pos="1276"/>
              </w:tabs>
              <w:spacing w:after="0" w:line="240" w:lineRule="auto"/>
              <w:ind w:left="709" w:hanging="425"/>
              <w:jc w:val="both"/>
              <w:rPr>
                <w:rFonts w:ascii="Times New Roman" w:hAnsi="Times New Roman" w:cs="Times New Roman"/>
              </w:rPr>
            </w:pPr>
            <w:r>
              <w:rPr>
                <w:rFonts w:ascii="Times New Roman" w:hAnsi="Times New Roman" w:cs="Times New Roman"/>
              </w:rPr>
              <w:t>Zagospodarowanie zdegradowanych przestrzeni na cele rozwoju przedsiębiorczości usługowej i zielonych miejsc pracy w dziedzinach strategicznych dla rozwoju obszaru: turystyki, rekreacji i wypoczynku,</w:t>
            </w:r>
          </w:p>
          <w:p w:rsidR="00DC75FA" w:rsidRDefault="00887D84">
            <w:pPr>
              <w:pStyle w:val="Akapitzlist"/>
              <w:numPr>
                <w:ilvl w:val="1"/>
                <w:numId w:val="6"/>
              </w:numPr>
              <w:tabs>
                <w:tab w:val="left" w:pos="1276"/>
              </w:tabs>
              <w:spacing w:after="0" w:line="240" w:lineRule="auto"/>
              <w:ind w:left="709" w:hanging="425"/>
              <w:jc w:val="both"/>
              <w:rPr>
                <w:rFonts w:ascii="Times New Roman" w:hAnsi="Times New Roman" w:cs="Times New Roman"/>
              </w:rPr>
            </w:pPr>
            <w:r>
              <w:rPr>
                <w:rFonts w:ascii="Times New Roman" w:hAnsi="Times New Roman" w:cs="Times New Roman"/>
              </w:rPr>
              <w:t>Modernizacja źródeł ciepła na mniej emisyjne, termomodernizacje obiektów użyteczności publicznej, inwestycje w odnawialne źródła energii,</w:t>
            </w:r>
          </w:p>
          <w:p w:rsidR="00DC75FA" w:rsidRDefault="00887D84">
            <w:pPr>
              <w:pStyle w:val="Akapitzlist"/>
              <w:numPr>
                <w:ilvl w:val="1"/>
                <w:numId w:val="6"/>
              </w:numPr>
              <w:tabs>
                <w:tab w:val="left" w:pos="1276"/>
              </w:tabs>
              <w:spacing w:after="0" w:line="240" w:lineRule="auto"/>
              <w:ind w:left="709" w:hanging="425"/>
              <w:jc w:val="both"/>
              <w:rPr>
                <w:rFonts w:ascii="Times New Roman" w:hAnsi="Times New Roman" w:cs="Times New Roman"/>
              </w:rPr>
            </w:pPr>
            <w:r>
              <w:rPr>
                <w:rFonts w:ascii="Times New Roman" w:hAnsi="Times New Roman" w:cs="Times New Roman"/>
              </w:rPr>
              <w:t>Tworzenie oczek wodnych i ogrodów deszczowych na terenach przy budynkach użyteczności publicznych, pogłębienie rowów przydrożnych i przepustów, zakup urządzeń ratowniczych i prewencyjnych,</w:t>
            </w:r>
          </w:p>
          <w:p w:rsidR="00DC75FA" w:rsidRDefault="00887D84">
            <w:pPr>
              <w:pStyle w:val="Akapitzlist"/>
              <w:numPr>
                <w:ilvl w:val="1"/>
                <w:numId w:val="6"/>
              </w:numPr>
              <w:tabs>
                <w:tab w:val="left" w:pos="1276"/>
              </w:tabs>
              <w:spacing w:after="0" w:line="240" w:lineRule="auto"/>
              <w:ind w:left="709" w:hanging="425"/>
              <w:jc w:val="both"/>
              <w:rPr>
                <w:rFonts w:ascii="Times New Roman" w:hAnsi="Times New Roman" w:cs="Times New Roman"/>
              </w:rPr>
            </w:pPr>
            <w:r>
              <w:rPr>
                <w:rFonts w:ascii="Times New Roman" w:hAnsi="Times New Roman" w:cs="Times New Roman"/>
              </w:rPr>
              <w:t>Edukacja ekologiczna,</w:t>
            </w:r>
          </w:p>
          <w:p w:rsidR="00DC75FA" w:rsidRDefault="00887D84">
            <w:pPr>
              <w:pStyle w:val="Akapitzlist"/>
              <w:numPr>
                <w:ilvl w:val="1"/>
                <w:numId w:val="6"/>
              </w:numPr>
              <w:tabs>
                <w:tab w:val="left" w:pos="1276"/>
              </w:tabs>
              <w:spacing w:after="0" w:line="240" w:lineRule="auto"/>
              <w:ind w:left="709" w:hanging="425"/>
              <w:jc w:val="both"/>
              <w:rPr>
                <w:rFonts w:ascii="Times New Roman" w:hAnsi="Times New Roman" w:cs="Times New Roman"/>
              </w:rPr>
            </w:pPr>
            <w:r>
              <w:rPr>
                <w:rFonts w:ascii="Times New Roman" w:hAnsi="Times New Roman" w:cs="Times New Roman"/>
              </w:rPr>
              <w:t>Inwestycje w alternatywne źródła energii (panele fotowoltaiczne i pompy ciepła) oraz przydomowe oczyszczalnie ścieków</w:t>
            </w:r>
          </w:p>
          <w:p w:rsidR="00DC75FA" w:rsidRDefault="00887D84">
            <w:pPr>
              <w:pStyle w:val="Akapitzlist"/>
              <w:numPr>
                <w:ilvl w:val="1"/>
                <w:numId w:val="6"/>
              </w:numPr>
              <w:tabs>
                <w:tab w:val="left" w:pos="1276"/>
              </w:tabs>
              <w:spacing w:after="0" w:line="240" w:lineRule="auto"/>
              <w:ind w:left="709" w:hanging="425"/>
              <w:jc w:val="both"/>
              <w:rPr>
                <w:rFonts w:ascii="Times New Roman" w:hAnsi="Times New Roman" w:cs="Times New Roman"/>
              </w:rPr>
            </w:pPr>
            <w:r>
              <w:rPr>
                <w:rFonts w:ascii="Times New Roman" w:hAnsi="Times New Roman" w:cs="Times New Roman"/>
              </w:rPr>
              <w:t>Inwestycje w farmy fotowoltaiczne</w:t>
            </w:r>
          </w:p>
          <w:p w:rsidR="00DC75FA" w:rsidRDefault="00887D84">
            <w:pPr>
              <w:pStyle w:val="Akapitzlist"/>
              <w:numPr>
                <w:ilvl w:val="1"/>
                <w:numId w:val="6"/>
              </w:numPr>
              <w:tabs>
                <w:tab w:val="left" w:pos="1276"/>
              </w:tabs>
              <w:spacing w:after="0" w:line="240" w:lineRule="auto"/>
              <w:ind w:left="709" w:hanging="425"/>
              <w:jc w:val="both"/>
              <w:rPr>
                <w:rFonts w:ascii="Times New Roman" w:hAnsi="Times New Roman" w:cs="Times New Roman"/>
              </w:rPr>
            </w:pPr>
            <w:r>
              <w:rPr>
                <w:rFonts w:ascii="Times New Roman" w:hAnsi="Times New Roman" w:cs="Times New Roman"/>
              </w:rPr>
              <w:t>Termomodernizacje budynków</w:t>
            </w:r>
          </w:p>
          <w:p w:rsidR="00DC75FA" w:rsidRDefault="00887D84">
            <w:pPr>
              <w:pStyle w:val="Akapitzlist"/>
              <w:numPr>
                <w:ilvl w:val="1"/>
                <w:numId w:val="6"/>
              </w:numPr>
              <w:tabs>
                <w:tab w:val="left" w:pos="1276"/>
              </w:tabs>
              <w:spacing w:after="0" w:line="240" w:lineRule="auto"/>
              <w:ind w:left="709" w:hanging="425"/>
              <w:jc w:val="both"/>
              <w:rPr>
                <w:rFonts w:ascii="Times New Roman" w:hAnsi="Times New Roman" w:cs="Times New Roman"/>
              </w:rPr>
            </w:pPr>
            <w:r>
              <w:rPr>
                <w:rFonts w:ascii="Times New Roman" w:hAnsi="Times New Roman" w:cs="Times New Roman"/>
              </w:rPr>
              <w:t>Recycling i segregacja odpadów</w:t>
            </w:r>
            <w:bookmarkStart w:id="31" w:name="_Hlk75722045"/>
            <w:bookmarkEnd w:id="31"/>
          </w:p>
          <w:p w:rsidR="00DC75FA" w:rsidRDefault="00DC75FA">
            <w:pPr>
              <w:spacing w:after="0" w:line="240" w:lineRule="auto"/>
              <w:rPr>
                <w:rFonts w:ascii="Times New Roman" w:hAnsi="Times New Roman" w:cs="Times New Roman"/>
              </w:rPr>
            </w:pPr>
          </w:p>
        </w:tc>
      </w:tr>
      <w:tr w:rsidR="00DC75FA" w:rsidTr="00DC75FA">
        <w:tc>
          <w:tcPr>
            <w:cnfStyle w:val="001000000000" w:firstRow="0" w:lastRow="0" w:firstColumn="1" w:lastColumn="0" w:oddVBand="0" w:evenVBand="0" w:oddHBand="0" w:evenHBand="0" w:firstRowFirstColumn="0" w:firstRowLastColumn="0" w:lastRowFirstColumn="0" w:lastRowLastColumn="0"/>
            <w:tcW w:w="9203" w:type="dxa"/>
            <w:shd w:val="clear" w:color="auto" w:fill="auto"/>
          </w:tcPr>
          <w:p w:rsidR="00DC75FA" w:rsidRDefault="00887D84">
            <w:pPr>
              <w:shd w:val="clear" w:color="auto" w:fill="2E74B5" w:themeFill="accent1" w:themeFillShade="BF"/>
              <w:spacing w:after="0" w:line="240" w:lineRule="auto"/>
              <w:rPr>
                <w:rFonts w:ascii="Times New Roman" w:hAnsi="Times New Roman" w:cs="Times New Roman"/>
              </w:rPr>
            </w:pPr>
            <w:r>
              <w:rPr>
                <w:rFonts w:ascii="Times New Roman" w:hAnsi="Times New Roman" w:cs="Times New Roman"/>
              </w:rPr>
              <w:t xml:space="preserve">Cel: Przeciwdziałanie wykluczeniu i profilaktyka, wsparcie grup </w:t>
            </w:r>
            <w:proofErr w:type="spellStart"/>
            <w:r>
              <w:rPr>
                <w:rFonts w:ascii="Times New Roman" w:hAnsi="Times New Roman" w:cs="Times New Roman"/>
              </w:rPr>
              <w:t>defaworyzowanych</w:t>
            </w:r>
            <w:proofErr w:type="spellEnd"/>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rsidR="00DC75FA" w:rsidRDefault="00887D84">
            <w:pPr>
              <w:spacing w:after="0" w:line="240" w:lineRule="auto"/>
              <w:rPr>
                <w:rFonts w:ascii="Times New Roman" w:hAnsi="Times New Roman" w:cs="Times New Roman"/>
              </w:rPr>
            </w:pPr>
            <w:r>
              <w:rPr>
                <w:rFonts w:ascii="Times New Roman" w:hAnsi="Times New Roman" w:cs="Times New Roman"/>
              </w:rPr>
              <w:t xml:space="preserve">Kierunki: </w:t>
            </w:r>
          </w:p>
          <w:p w:rsidR="00DC75FA" w:rsidRDefault="00887D84">
            <w:pPr>
              <w:pStyle w:val="Akapitzlist"/>
              <w:numPr>
                <w:ilvl w:val="1"/>
                <w:numId w:val="5"/>
              </w:numPr>
              <w:spacing w:after="0" w:line="240" w:lineRule="auto"/>
              <w:ind w:left="709" w:hanging="425"/>
              <w:jc w:val="both"/>
              <w:rPr>
                <w:rFonts w:ascii="Times New Roman" w:hAnsi="Times New Roman" w:cs="Times New Roman"/>
              </w:rPr>
            </w:pPr>
            <w:r>
              <w:rPr>
                <w:rFonts w:ascii="Times New Roman" w:hAnsi="Times New Roman" w:cs="Times New Roman"/>
              </w:rPr>
              <w:t xml:space="preserve">Realizacja programów profilaktycznych w </w:t>
            </w:r>
            <w:proofErr w:type="spellStart"/>
            <w:r>
              <w:rPr>
                <w:rFonts w:ascii="Times New Roman" w:hAnsi="Times New Roman" w:cs="Times New Roman"/>
              </w:rPr>
              <w:t>ZOZach</w:t>
            </w:r>
            <w:proofErr w:type="spellEnd"/>
            <w:r>
              <w:rPr>
                <w:rFonts w:ascii="Times New Roman" w:hAnsi="Times New Roman" w:cs="Times New Roman"/>
              </w:rPr>
              <w:t xml:space="preserve">, modernizacje budynków </w:t>
            </w:r>
            <w:proofErr w:type="spellStart"/>
            <w:r>
              <w:rPr>
                <w:rFonts w:ascii="Times New Roman" w:hAnsi="Times New Roman" w:cs="Times New Roman"/>
              </w:rPr>
              <w:t>ZOZów</w:t>
            </w:r>
            <w:proofErr w:type="spellEnd"/>
            <w:r>
              <w:rPr>
                <w:rFonts w:ascii="Times New Roman" w:hAnsi="Times New Roman" w:cs="Times New Roman"/>
              </w:rPr>
              <w:t>,</w:t>
            </w:r>
          </w:p>
          <w:p w:rsidR="00DC75FA" w:rsidRDefault="00887D84">
            <w:pPr>
              <w:pStyle w:val="Akapitzlist"/>
              <w:numPr>
                <w:ilvl w:val="1"/>
                <w:numId w:val="5"/>
              </w:numPr>
              <w:spacing w:after="0" w:line="240" w:lineRule="auto"/>
              <w:ind w:left="709" w:hanging="425"/>
              <w:jc w:val="both"/>
              <w:rPr>
                <w:rFonts w:ascii="Times New Roman" w:hAnsi="Times New Roman" w:cs="Times New Roman"/>
              </w:rPr>
            </w:pPr>
            <w:r>
              <w:rPr>
                <w:rFonts w:ascii="Times New Roman" w:hAnsi="Times New Roman" w:cs="Times New Roman"/>
              </w:rPr>
              <w:t>Tworzenie systemów wsparcia i samopomocy,</w:t>
            </w:r>
          </w:p>
          <w:p w:rsidR="00DC75FA" w:rsidRDefault="00887D84">
            <w:pPr>
              <w:pStyle w:val="Akapitzlist"/>
              <w:numPr>
                <w:ilvl w:val="1"/>
                <w:numId w:val="5"/>
              </w:numPr>
              <w:spacing w:after="0" w:line="240" w:lineRule="auto"/>
              <w:ind w:left="709" w:hanging="425"/>
              <w:jc w:val="both"/>
              <w:rPr>
                <w:rFonts w:ascii="Times New Roman" w:hAnsi="Times New Roman" w:cs="Times New Roman"/>
              </w:rPr>
            </w:pPr>
            <w:r>
              <w:rPr>
                <w:rFonts w:ascii="Times New Roman" w:hAnsi="Times New Roman" w:cs="Times New Roman"/>
              </w:rPr>
              <w:t>Współpraca z instytucjami rynku pracy oraz przedsiębiorstwami mająca na celu aktywizację grup zagrożonych wykluczeniem,</w:t>
            </w:r>
          </w:p>
          <w:p w:rsidR="00DC75FA" w:rsidRDefault="00887D84">
            <w:pPr>
              <w:pStyle w:val="Akapitzlist"/>
              <w:numPr>
                <w:ilvl w:val="1"/>
                <w:numId w:val="5"/>
              </w:numPr>
              <w:spacing w:after="0" w:line="240" w:lineRule="auto"/>
              <w:ind w:left="709" w:hanging="425"/>
              <w:jc w:val="both"/>
              <w:rPr>
                <w:rFonts w:ascii="Times New Roman" w:hAnsi="Times New Roman" w:cs="Times New Roman"/>
              </w:rPr>
            </w:pPr>
            <w:r>
              <w:rPr>
                <w:rFonts w:ascii="Times New Roman" w:hAnsi="Times New Roman" w:cs="Times New Roman"/>
              </w:rPr>
              <w:t>Współpraca międzysektorowa mająca na celu wzrost standardu świadczenia usług społecznych,</w:t>
            </w:r>
          </w:p>
          <w:p w:rsidR="00DC75FA" w:rsidRDefault="00887D84">
            <w:pPr>
              <w:pStyle w:val="Akapitzlist"/>
              <w:numPr>
                <w:ilvl w:val="1"/>
                <w:numId w:val="5"/>
              </w:numPr>
              <w:spacing w:after="0" w:line="240" w:lineRule="auto"/>
              <w:ind w:left="709" w:hanging="425"/>
              <w:jc w:val="both"/>
              <w:rPr>
                <w:rFonts w:ascii="Times New Roman" w:hAnsi="Times New Roman" w:cs="Times New Roman"/>
              </w:rPr>
            </w:pPr>
            <w:r>
              <w:rPr>
                <w:rFonts w:ascii="Times New Roman" w:hAnsi="Times New Roman" w:cs="Times New Roman"/>
              </w:rPr>
              <w:t>Tworzenie rodzinnych domów opieki dla dzieci (piecza zastępcza, kluby dziecięce), seniorów i osób niepełnosprawnych [w tym spółdzielnie socjalne, warsztaty terapii zajęciowej],</w:t>
            </w:r>
          </w:p>
          <w:p w:rsidR="00DC75FA" w:rsidRDefault="00887D84">
            <w:pPr>
              <w:pStyle w:val="Akapitzlist"/>
              <w:numPr>
                <w:ilvl w:val="1"/>
                <w:numId w:val="5"/>
              </w:numPr>
              <w:spacing w:after="0" w:line="240" w:lineRule="auto"/>
              <w:ind w:left="709" w:hanging="425"/>
              <w:jc w:val="both"/>
              <w:rPr>
                <w:rFonts w:ascii="Times New Roman" w:hAnsi="Times New Roman" w:cs="Times New Roman"/>
              </w:rPr>
            </w:pPr>
            <w:r>
              <w:rPr>
                <w:rFonts w:ascii="Times New Roman" w:hAnsi="Times New Roman" w:cs="Times New Roman"/>
              </w:rPr>
              <w:t>Tworzenie infrastruktury wsparcia zdrowotnego - poradni psychologicznych, uzdrowisk, stref fitness i SPA,</w:t>
            </w:r>
          </w:p>
          <w:p w:rsidR="00DC75FA" w:rsidRDefault="00887D84">
            <w:pPr>
              <w:pStyle w:val="Akapitzlist"/>
              <w:numPr>
                <w:ilvl w:val="1"/>
                <w:numId w:val="5"/>
              </w:numPr>
              <w:spacing w:after="0" w:line="240" w:lineRule="auto"/>
              <w:ind w:left="709" w:hanging="425"/>
              <w:jc w:val="both"/>
              <w:rPr>
                <w:rFonts w:ascii="Times New Roman" w:hAnsi="Times New Roman" w:cs="Times New Roman"/>
              </w:rPr>
            </w:pPr>
            <w:r>
              <w:rPr>
                <w:rFonts w:ascii="Times New Roman" w:hAnsi="Times New Roman" w:cs="Times New Roman"/>
              </w:rPr>
              <w:t xml:space="preserve">Realizacja działań aktywizujących grupy </w:t>
            </w:r>
            <w:proofErr w:type="spellStart"/>
            <w:r>
              <w:rPr>
                <w:rFonts w:ascii="Times New Roman" w:hAnsi="Times New Roman" w:cs="Times New Roman"/>
              </w:rPr>
              <w:t>defaworyzowane</w:t>
            </w:r>
            <w:proofErr w:type="spellEnd"/>
            <w:r>
              <w:rPr>
                <w:rFonts w:ascii="Times New Roman" w:hAnsi="Times New Roman" w:cs="Times New Roman"/>
              </w:rPr>
              <w:t>.</w:t>
            </w:r>
          </w:p>
          <w:p w:rsidR="00DC75FA" w:rsidRDefault="00DC75FA">
            <w:pPr>
              <w:spacing w:after="0" w:line="240" w:lineRule="auto"/>
              <w:rPr>
                <w:rFonts w:ascii="Times New Roman" w:hAnsi="Times New Roman" w:cs="Times New Roman"/>
              </w:rPr>
            </w:pPr>
          </w:p>
        </w:tc>
      </w:tr>
    </w:tbl>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887D84">
      <w:pPr>
        <w:pStyle w:val="Legenda"/>
        <w:rPr>
          <w:rFonts w:ascii="Times New Roman" w:hAnsi="Times New Roman" w:cs="Times New Roman"/>
        </w:rPr>
      </w:pPr>
      <w:bookmarkStart w:id="32" w:name="_Toc75877428"/>
      <w:r>
        <w:rPr>
          <w:rFonts w:ascii="Times New Roman" w:hAnsi="Times New Roman" w:cs="Times New Roman"/>
        </w:rPr>
        <w:t xml:space="preserve">Mapa </w:t>
      </w:r>
      <w:r>
        <w:rPr>
          <w:rFonts w:ascii="Times New Roman" w:hAnsi="Times New Roman" w:cs="Times New Roman"/>
        </w:rPr>
        <w:fldChar w:fldCharType="begin"/>
      </w:r>
      <w:r>
        <w:rPr>
          <w:rFonts w:ascii="Times New Roman" w:hAnsi="Times New Roman" w:cs="Times New Roman"/>
        </w:rPr>
        <w:instrText>SEQ Mapa \* ARABIC</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t xml:space="preserve"> Struktura przestrzenna realizacji głównych celów rozwojowych względem wskazania terenów realizacji projektów inwestycyjnych</w:t>
      </w:r>
      <w:bookmarkEnd w:id="32"/>
    </w:p>
    <w:p w:rsidR="00DC75FA" w:rsidRDefault="00887D84">
      <w:r>
        <w:rPr>
          <w:noProof/>
          <w:lang w:eastAsia="pl-PL"/>
        </w:rPr>
        <w:drawing>
          <wp:inline distT="0" distB="0" distL="0" distR="0">
            <wp:extent cx="5847715" cy="5746115"/>
            <wp:effectExtent l="0" t="0" r="0" b="0"/>
            <wp:docPr id="28"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4"/>
                    <pic:cNvPicPr>
                      <a:picLocks noChangeAspect="1" noChangeArrowheads="1"/>
                    </pic:cNvPicPr>
                  </pic:nvPicPr>
                  <pic:blipFill>
                    <a:blip r:embed="rId34"/>
                    <a:stretch>
                      <a:fillRect/>
                    </a:stretch>
                  </pic:blipFill>
                  <pic:spPr bwMode="auto">
                    <a:xfrm>
                      <a:off x="0" y="0"/>
                      <a:ext cx="5847715" cy="5746115"/>
                    </a:xfrm>
                    <a:prstGeom prst="rect">
                      <a:avLst/>
                    </a:prstGeom>
                  </pic:spPr>
                </pic:pic>
              </a:graphicData>
            </a:graphic>
          </wp:inline>
        </w:drawing>
      </w:r>
      <w:r>
        <w:rPr>
          <w:noProof/>
          <w:lang w:eastAsia="pl-PL"/>
        </w:rPr>
        <w:drawing>
          <wp:anchor distT="0" distB="0" distL="0" distR="0" simplePos="0" relativeHeight="4" behindDoc="0" locked="0" layoutInCell="1" allowOverlap="1">
            <wp:simplePos x="0" y="0"/>
            <wp:positionH relativeFrom="margin">
              <wp:posOffset>90170</wp:posOffset>
            </wp:positionH>
            <wp:positionV relativeFrom="paragraph">
              <wp:posOffset>49530</wp:posOffset>
            </wp:positionV>
            <wp:extent cx="2528570" cy="784225"/>
            <wp:effectExtent l="0" t="0" r="0" b="0"/>
            <wp:wrapNone/>
            <wp:docPr id="2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3"/>
                    <pic:cNvPicPr>
                      <a:picLocks noChangeAspect="1" noChangeArrowheads="1"/>
                    </pic:cNvPicPr>
                  </pic:nvPicPr>
                  <pic:blipFill>
                    <a:blip r:embed="rId35"/>
                    <a:stretch>
                      <a:fillRect/>
                    </a:stretch>
                  </pic:blipFill>
                  <pic:spPr bwMode="auto">
                    <a:xfrm>
                      <a:off x="0" y="0"/>
                      <a:ext cx="2528570" cy="784225"/>
                    </a:xfrm>
                    <a:prstGeom prst="rect">
                      <a:avLst/>
                    </a:prstGeom>
                  </pic:spPr>
                </pic:pic>
              </a:graphicData>
            </a:graphic>
          </wp:anchor>
        </w:drawing>
      </w:r>
    </w:p>
    <w:p w:rsidR="00DC75FA" w:rsidRDefault="00887D84">
      <w:pPr>
        <w:pStyle w:val="Legenda"/>
      </w:pPr>
      <w:r>
        <w:t>Źródło: opracowanie własne</w:t>
      </w: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887D84">
      <w:pPr>
        <w:pStyle w:val="Nagwek1"/>
        <w:numPr>
          <w:ilvl w:val="0"/>
          <w:numId w:val="7"/>
        </w:numPr>
        <w:rPr>
          <w:rFonts w:ascii="Times New Roman" w:hAnsi="Times New Roman" w:cs="Times New Roman"/>
        </w:rPr>
      </w:pPr>
      <w:bookmarkStart w:id="33" w:name="_Toc105754698"/>
      <w:r>
        <w:rPr>
          <w:rFonts w:ascii="Times New Roman" w:hAnsi="Times New Roman" w:cs="Times New Roman"/>
        </w:rPr>
        <w:lastRenderedPageBreak/>
        <w:t>Zasady i struktura zarządzania procesem wdrażania Strategii</w:t>
      </w:r>
      <w:bookmarkEnd w:id="33"/>
      <w:r>
        <w:rPr>
          <w:rFonts w:ascii="Times New Roman" w:hAnsi="Times New Roman" w:cs="Times New Roman"/>
        </w:rPr>
        <w:t xml:space="preserve"> </w:t>
      </w:r>
    </w:p>
    <w:p w:rsidR="00DC75FA" w:rsidRDefault="00DC75FA">
      <w:pPr>
        <w:pStyle w:val="Akapitzlist"/>
        <w:rPr>
          <w:rFonts w:ascii="Times New Roman" w:hAnsi="Times New Roman" w:cs="Times New Roman"/>
        </w:rPr>
      </w:pPr>
    </w:p>
    <w:p w:rsidR="00DC75FA" w:rsidRDefault="00887D84">
      <w:pPr>
        <w:pStyle w:val="Nagwek2"/>
        <w:rPr>
          <w:rFonts w:ascii="Times New Roman" w:hAnsi="Times New Roman" w:cs="Times New Roman"/>
          <w:sz w:val="22"/>
          <w:szCs w:val="22"/>
        </w:rPr>
      </w:pPr>
      <w:bookmarkStart w:id="34" w:name="_Toc105754699"/>
      <w:r>
        <w:rPr>
          <w:rFonts w:ascii="Times New Roman" w:hAnsi="Times New Roman" w:cs="Times New Roman"/>
          <w:sz w:val="22"/>
          <w:szCs w:val="22"/>
        </w:rPr>
        <w:t>9.1 Zasady współpracy partnerów</w:t>
      </w:r>
      <w:bookmarkEnd w:id="34"/>
      <w:r>
        <w:rPr>
          <w:rFonts w:ascii="Times New Roman" w:hAnsi="Times New Roman" w:cs="Times New Roman"/>
          <w:sz w:val="22"/>
          <w:szCs w:val="22"/>
        </w:rPr>
        <w:t xml:space="preserve"> </w:t>
      </w:r>
    </w:p>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 xml:space="preserve">Porozumienie gmin Obszaru Zielone Zagłębie jest wyrazem woli współpracy gmin: Puchaczów, Cyców, Ludwin, Milejów, Urszulin w zakresie przygotowania wspólnej Strategii Rozwoju Ponadlokalnego. Dokument ten określa zbiór celów i priorytetów o charakterze ponadlokalnym. Jednocześnie zawiera zbiór planowanych interwencji prowadzących do zrównoważonego rozwoju obszaru będącego przedmiotem strategii. </w:t>
      </w:r>
    </w:p>
    <w:p w:rsidR="00DC75FA" w:rsidRDefault="00887D84">
      <w:pPr>
        <w:pStyle w:val="Legenda"/>
        <w:rPr>
          <w:rFonts w:ascii="Times New Roman" w:hAnsi="Times New Roman" w:cs="Times New Roman"/>
          <w:sz w:val="22"/>
          <w:szCs w:val="22"/>
        </w:rPr>
      </w:pPr>
      <w:bookmarkStart w:id="35" w:name="_Toc116896487"/>
      <w:r>
        <w:rPr>
          <w:rFonts w:ascii="Times New Roman" w:hAnsi="Times New Roman" w:cs="Times New Roman"/>
          <w:sz w:val="22"/>
          <w:szCs w:val="22"/>
        </w:rPr>
        <w:t xml:space="preserve">Rysunek </w:t>
      </w:r>
      <w:r>
        <w:rPr>
          <w:rFonts w:ascii="Times New Roman" w:hAnsi="Times New Roman" w:cs="Times New Roman"/>
          <w:sz w:val="22"/>
          <w:szCs w:val="22"/>
        </w:rPr>
        <w:fldChar w:fldCharType="begin"/>
      </w:r>
      <w:r>
        <w:rPr>
          <w:rFonts w:ascii="Times New Roman" w:hAnsi="Times New Roman" w:cs="Times New Roman"/>
          <w:sz w:val="22"/>
          <w:szCs w:val="22"/>
        </w:rPr>
        <w:instrText>SEQ Rysunek \* ARABIC</w:instrText>
      </w:r>
      <w:r>
        <w:rPr>
          <w:rFonts w:ascii="Times New Roman" w:hAnsi="Times New Roman" w:cs="Times New Roman"/>
          <w:sz w:val="22"/>
          <w:szCs w:val="22"/>
        </w:rPr>
        <w:fldChar w:fldCharType="separate"/>
      </w:r>
      <w:r>
        <w:rPr>
          <w:rFonts w:ascii="Times New Roman" w:hAnsi="Times New Roman" w:cs="Times New Roman"/>
          <w:sz w:val="22"/>
          <w:szCs w:val="22"/>
        </w:rPr>
        <w:t>2</w:t>
      </w:r>
      <w:r>
        <w:rPr>
          <w:rFonts w:ascii="Times New Roman" w:hAnsi="Times New Roman" w:cs="Times New Roman"/>
          <w:sz w:val="22"/>
          <w:szCs w:val="22"/>
        </w:rPr>
        <w:fldChar w:fldCharType="end"/>
      </w:r>
      <w:r>
        <w:rPr>
          <w:rFonts w:ascii="Times New Roman" w:hAnsi="Times New Roman" w:cs="Times New Roman"/>
          <w:sz w:val="22"/>
          <w:szCs w:val="22"/>
        </w:rPr>
        <w:t xml:space="preserve"> Struktura dokumentów strategicznych w ramach porozumienia</w:t>
      </w:r>
      <w:bookmarkEnd w:id="35"/>
    </w:p>
    <w:p w:rsidR="00DC75FA" w:rsidRDefault="00887D84">
      <w:pPr>
        <w:rPr>
          <w:rFonts w:ascii="Times New Roman" w:hAnsi="Times New Roman" w:cs="Times New Roman"/>
        </w:rPr>
      </w:pPr>
      <w:r>
        <w:rPr>
          <w:noProof/>
          <w:lang w:eastAsia="pl-PL"/>
        </w:rPr>
        <w:drawing>
          <wp:inline distT="0" distB="0" distL="0" distR="0" wp14:anchorId="3F043766">
            <wp:extent cx="5487035" cy="791210"/>
            <wp:effectExtent l="0" t="38100" r="18415" b="66040"/>
            <wp:docPr id="29" name="Diagram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C75FA" w:rsidRDefault="00887D84">
      <w:pPr>
        <w:rPr>
          <w:rFonts w:ascii="Times New Roman" w:hAnsi="Times New Roman" w:cs="Times New Roman"/>
        </w:rPr>
      </w:pPr>
      <w:r>
        <w:rPr>
          <w:noProof/>
          <w:lang w:eastAsia="pl-PL"/>
        </w:rPr>
        <w:drawing>
          <wp:inline distT="0" distB="0" distL="0" distR="0" wp14:anchorId="40B6F35D">
            <wp:extent cx="5487035" cy="1038860"/>
            <wp:effectExtent l="0" t="19050" r="37465" b="46990"/>
            <wp:docPr id="30" name="Diagram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DC75FA" w:rsidRDefault="00887D84">
      <w:pPr>
        <w:rPr>
          <w:rFonts w:ascii="Times New Roman" w:hAnsi="Times New Roman" w:cs="Times New Roman"/>
        </w:rPr>
      </w:pPr>
      <w:r>
        <w:rPr>
          <w:noProof/>
          <w:lang w:eastAsia="pl-PL"/>
        </w:rPr>
        <w:drawing>
          <wp:inline distT="0" distB="0" distL="0" distR="0" wp14:anchorId="1D038D51">
            <wp:extent cx="5487035" cy="762635"/>
            <wp:effectExtent l="19050" t="19050" r="18415" b="37465"/>
            <wp:docPr id="31" name="Diagram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DC75FA" w:rsidRDefault="00887D84">
      <w:pPr>
        <w:pStyle w:val="Legenda"/>
      </w:pPr>
      <w:r>
        <w:t>Źródło: Opracowanie własne</w:t>
      </w:r>
    </w:p>
    <w:p w:rsidR="00DC75FA" w:rsidRDefault="00887D84">
      <w:pPr>
        <w:jc w:val="both"/>
        <w:rPr>
          <w:rFonts w:ascii="Times New Roman" w:hAnsi="Times New Roman" w:cs="Times New Roman"/>
        </w:rPr>
      </w:pPr>
      <w:r>
        <w:rPr>
          <w:rFonts w:ascii="Times New Roman" w:hAnsi="Times New Roman" w:cs="Times New Roman"/>
        </w:rPr>
        <w:t xml:space="preserve">Dobór poszczególnych instrumentów realizacyjnych opiera się na ocenie potrzeb i problemów - dokonanej na podstawie diagnozy </w:t>
      </w:r>
      <w:proofErr w:type="spellStart"/>
      <w:r>
        <w:rPr>
          <w:rFonts w:ascii="Times New Roman" w:hAnsi="Times New Roman" w:cs="Times New Roman"/>
        </w:rPr>
        <w:t>społeczno</w:t>
      </w:r>
      <w:proofErr w:type="spellEnd"/>
      <w:r>
        <w:rPr>
          <w:rFonts w:ascii="Times New Roman" w:hAnsi="Times New Roman" w:cs="Times New Roman"/>
        </w:rPr>
        <w:t xml:space="preserve"> – gospodarczej oraz oceny efektywności i skuteczności dotychczasowych działań podejmowanych przez poszczególne </w:t>
      </w:r>
      <w:proofErr w:type="spellStart"/>
      <w:r>
        <w:rPr>
          <w:rFonts w:ascii="Times New Roman" w:hAnsi="Times New Roman" w:cs="Times New Roman"/>
        </w:rPr>
        <w:t>jst</w:t>
      </w:r>
      <w:proofErr w:type="spellEnd"/>
      <w:r>
        <w:rPr>
          <w:rFonts w:ascii="Times New Roman" w:hAnsi="Times New Roman" w:cs="Times New Roman"/>
        </w:rPr>
        <w:t>. Zaplanowane przedsięwzięcia realizacyjne są ukierunkowane na usuwanie zidentyfikowanych, na etapie diagnostycznym, niedoborów lub barier hamujących zrównoważony rozwój terytorialny.</w:t>
      </w:r>
    </w:p>
    <w:p w:rsidR="00DC75FA" w:rsidRDefault="00887D84">
      <w:pPr>
        <w:jc w:val="both"/>
        <w:rPr>
          <w:rFonts w:ascii="Times New Roman" w:hAnsi="Times New Roman" w:cs="Times New Roman"/>
        </w:rPr>
      </w:pPr>
      <w:r>
        <w:rPr>
          <w:rFonts w:ascii="Times New Roman" w:hAnsi="Times New Roman" w:cs="Times New Roman"/>
        </w:rPr>
        <w:t xml:space="preserve">Wskazanie konkretnych mechanizmów wdrażania strategii jest ważne, aby realizacja zaplanowanej interwencji przez wszystkie podmioty przebiegała spójnie, tworząc efekt synergii. Dlatego też, wyznaczono dwa poziomy w systemie realizacji przedsięwzięć, odpowiadające założeniom Wizji, oraz zaprojektowanych celów strategicznych i operacyjnych. </w:t>
      </w:r>
    </w:p>
    <w:p w:rsidR="00DC75FA" w:rsidRDefault="00887D84">
      <w:pPr>
        <w:jc w:val="both"/>
        <w:rPr>
          <w:rFonts w:ascii="Times New Roman" w:hAnsi="Times New Roman" w:cs="Times New Roman"/>
        </w:rPr>
      </w:pPr>
      <w:r>
        <w:rPr>
          <w:rFonts w:ascii="Times New Roman" w:hAnsi="Times New Roman" w:cs="Times New Roman"/>
        </w:rPr>
        <w:t>Poziom pierwszy ma charakter ponadlokalny i odnosi się wprost do postanowień niniejszej strategii. Zawiera więc zbiór przedsięwzięć wspólnych dla kilku Partnerów. Na poziomie ponadlokalnym będą to m.in. przedsięwzięcia kluczowe, projekty partnerskie, czy też wiązki projektów finansowane z różnych źródeł, w tym szczególnie z wykorzystaniem środków Unii Europejskiej.</w:t>
      </w:r>
    </w:p>
    <w:p w:rsidR="00DC75FA" w:rsidRDefault="00887D84">
      <w:pPr>
        <w:jc w:val="both"/>
        <w:rPr>
          <w:rFonts w:ascii="Times New Roman" w:hAnsi="Times New Roman" w:cs="Times New Roman"/>
        </w:rPr>
      </w:pPr>
      <w:r>
        <w:rPr>
          <w:rFonts w:ascii="Times New Roman" w:hAnsi="Times New Roman" w:cs="Times New Roman"/>
        </w:rPr>
        <w:t xml:space="preserve">Część przedsięwzięć, z uwagi na zakres interwencji, powinna mieć charakter indywidualny. Dlatego też podjęto decyzję o konieczności wprowadzenia drugiego poziomu realizacji postanowień porozumienia i opracowania Programów Rozwoju poszczególnych gmin wchodzących w skład Partnerstwa. </w:t>
      </w:r>
      <w:r>
        <w:rPr>
          <w:rFonts w:ascii="Times New Roman" w:hAnsi="Times New Roman" w:cs="Times New Roman"/>
        </w:rPr>
        <w:lastRenderedPageBreak/>
        <w:t>Dokumenty, będące załącznikami do niniejszej strategii powinny zawierać krótką charakterystykę poszczególnych gmin, z uwzględnieniem ich przewag konkurencyjnych oraz listę przedsięwzięć o charakterze indywidualnym, które wpisują się w cele i priorytety rozwojowe strategii ponadlokalnej Zielone Zagłębie.</w:t>
      </w:r>
    </w:p>
    <w:p w:rsidR="00DC75FA" w:rsidRDefault="00887D84">
      <w:pPr>
        <w:jc w:val="both"/>
        <w:rPr>
          <w:rFonts w:ascii="Times New Roman" w:hAnsi="Times New Roman" w:cs="Times New Roman"/>
        </w:rPr>
      </w:pPr>
      <w:r>
        <w:rPr>
          <w:rFonts w:ascii="Times New Roman" w:hAnsi="Times New Roman" w:cs="Times New Roman"/>
        </w:rPr>
        <w:t>Tak opracowany system dokumentów o charakterze strategicznym, stanowił będzie podstawę do ubiegania się o środki zewnętrzne przy realizacji projektów zarówno partnerskich jak i indywidualnych prowadzących do zrównoważonego rozwoju całego obszaru objętego strategią.</w:t>
      </w:r>
    </w:p>
    <w:p w:rsidR="00DC75FA" w:rsidRDefault="00DC75FA">
      <w:pPr>
        <w:rPr>
          <w:rFonts w:ascii="Times New Roman" w:hAnsi="Times New Roman" w:cs="Times New Roman"/>
        </w:rPr>
      </w:pPr>
    </w:p>
    <w:p w:rsidR="00DC75FA" w:rsidRDefault="00887D84">
      <w:pPr>
        <w:pStyle w:val="Nagwek2"/>
        <w:rPr>
          <w:rFonts w:ascii="Times New Roman" w:hAnsi="Times New Roman" w:cs="Times New Roman"/>
          <w:sz w:val="22"/>
          <w:szCs w:val="22"/>
        </w:rPr>
      </w:pPr>
      <w:bookmarkStart w:id="36" w:name="_Toc105754700"/>
      <w:r>
        <w:rPr>
          <w:rFonts w:ascii="Times New Roman" w:hAnsi="Times New Roman" w:cs="Times New Roman"/>
          <w:sz w:val="22"/>
          <w:szCs w:val="22"/>
        </w:rPr>
        <w:t xml:space="preserve">9.2 </w:t>
      </w:r>
      <w:r>
        <w:rPr>
          <w:rFonts w:ascii="Times New Roman" w:hAnsi="Times New Roman" w:cs="Times New Roman"/>
          <w:sz w:val="32"/>
          <w:szCs w:val="32"/>
        </w:rPr>
        <w:t>Struktura i system zarzadzania strategią</w:t>
      </w:r>
      <w:bookmarkEnd w:id="36"/>
    </w:p>
    <w:p w:rsidR="00DC75FA" w:rsidRDefault="00DC75FA">
      <w:pPr>
        <w:rPr>
          <w:rFonts w:ascii="Times New Roman" w:hAnsi="Times New Roman" w:cs="Times New Roman"/>
          <w:sz w:val="16"/>
          <w:szCs w:val="16"/>
        </w:rPr>
      </w:pPr>
    </w:p>
    <w:p w:rsidR="00DC75FA" w:rsidRDefault="00887D84">
      <w:pPr>
        <w:jc w:val="both"/>
        <w:rPr>
          <w:rFonts w:ascii="Times New Roman" w:hAnsi="Times New Roman" w:cs="Times New Roman"/>
        </w:rPr>
      </w:pPr>
      <w:r>
        <w:rPr>
          <w:rFonts w:ascii="Times New Roman" w:hAnsi="Times New Roman" w:cs="Times New Roman"/>
        </w:rPr>
        <w:t>System zarządzania opracowaniem i wdrażaniem strategii ponadlokalnej ma kluczowe znaczenie w kontekście skuteczności realizacji interwencji publicznych i korzyści dla partnerów. Właściwe zaprojektowany i konsekwentnie wdrażany system wpłynie na sprawność realizacji strategii i wykorzystywania dostępnych funduszy przeznaczonych na realizacje jej celów. Co istotne, właściwy system stanowi podstawę do rozwoju trwałego forum współpracy między gminami, nie tylko w zakresie funduszy, ale docelowo wszystkich polityk realizowanych przez gminy obszaru Zielonego Zagłębia. Jednocześnie system zarządzania tworzy strukturę, po części sformalizowaną, w której powstają pozytywne relacje nieformalne. Taka struktura stanowić będzie w przyszłości bazę wiedzy i pamięci organizacyjnej determinującej dalszą współpracę i wspólny zintegrowany rozwój gmin całego obszaru objętego strategią.</w:t>
      </w:r>
    </w:p>
    <w:p w:rsidR="00DC75FA" w:rsidRDefault="00887D84">
      <w:pPr>
        <w:spacing w:after="0"/>
        <w:jc w:val="both"/>
        <w:rPr>
          <w:rFonts w:ascii="Times New Roman" w:hAnsi="Times New Roman" w:cs="Times New Roman"/>
        </w:rPr>
      </w:pPr>
      <w:r>
        <w:rPr>
          <w:rFonts w:ascii="Times New Roman" w:hAnsi="Times New Roman" w:cs="Times New Roman"/>
        </w:rPr>
        <w:t>U podstaw współpracy międzygminnej oparto się na doświadczeniach z lat ubiegłych. Opracowanie wspólnych dla kilku gmin dokumentów strategicznych przyniosło wiele korzyści, a między innymi:</w:t>
      </w:r>
    </w:p>
    <w:p w:rsidR="00DC75FA" w:rsidRDefault="00887D84">
      <w:pPr>
        <w:spacing w:after="0"/>
        <w:jc w:val="both"/>
        <w:rPr>
          <w:rFonts w:ascii="Times New Roman" w:hAnsi="Times New Roman" w:cs="Times New Roman"/>
        </w:rPr>
      </w:pPr>
      <w:r>
        <w:rPr>
          <w:rFonts w:ascii="Times New Roman" w:hAnsi="Times New Roman" w:cs="Times New Roman"/>
        </w:rPr>
        <w:t>- większe możliwości pozyskania środków zewnętrznych – możliwość korzystania ze źródeł dedykowanych na współpracę międzygminną tj. ZIT czy RLKS,</w:t>
      </w:r>
    </w:p>
    <w:p w:rsidR="00DC75FA" w:rsidRDefault="00887D84">
      <w:pPr>
        <w:spacing w:after="0"/>
        <w:jc w:val="both"/>
        <w:rPr>
          <w:rFonts w:ascii="Times New Roman" w:hAnsi="Times New Roman" w:cs="Times New Roman"/>
        </w:rPr>
      </w:pPr>
      <w:r>
        <w:rPr>
          <w:rFonts w:ascii="Times New Roman" w:hAnsi="Times New Roman" w:cs="Times New Roman"/>
        </w:rPr>
        <w:t>- wyższa punktacja w ramach oceny merytorycznej wniosków aplikacyjnych (punkty dodatkowe za współpracę międzygminną),</w:t>
      </w:r>
    </w:p>
    <w:p w:rsidR="00DC75FA" w:rsidRDefault="00887D84">
      <w:pPr>
        <w:spacing w:after="0"/>
        <w:jc w:val="both"/>
        <w:rPr>
          <w:rFonts w:ascii="Times New Roman" w:hAnsi="Times New Roman" w:cs="Times New Roman"/>
        </w:rPr>
      </w:pPr>
      <w:r>
        <w:rPr>
          <w:rFonts w:ascii="Times New Roman" w:hAnsi="Times New Roman" w:cs="Times New Roman"/>
        </w:rPr>
        <w:t>- rozłożenie kosztów przygotowania dokumentów, wniosków aplikacyjnych wraz z dokumentacją oraz raportów monitoringowych na kilka jednostek samorządu terytorialnego,</w:t>
      </w:r>
    </w:p>
    <w:p w:rsidR="00DC75FA" w:rsidRDefault="00887D84">
      <w:pPr>
        <w:spacing w:after="0"/>
        <w:jc w:val="both"/>
        <w:rPr>
          <w:rFonts w:ascii="Times New Roman" w:hAnsi="Times New Roman" w:cs="Times New Roman"/>
        </w:rPr>
      </w:pPr>
      <w:r>
        <w:rPr>
          <w:rFonts w:ascii="Times New Roman" w:hAnsi="Times New Roman" w:cs="Times New Roman"/>
        </w:rPr>
        <w:t>- zacieśnienie współpracy sąsiadujących ze sobą gmin,</w:t>
      </w:r>
    </w:p>
    <w:p w:rsidR="00DC75FA" w:rsidRDefault="00887D84">
      <w:pPr>
        <w:spacing w:after="0"/>
        <w:jc w:val="both"/>
        <w:rPr>
          <w:rFonts w:ascii="Times New Roman" w:hAnsi="Times New Roman" w:cs="Times New Roman"/>
        </w:rPr>
      </w:pPr>
      <w:r>
        <w:rPr>
          <w:rFonts w:ascii="Times New Roman" w:hAnsi="Times New Roman" w:cs="Times New Roman"/>
        </w:rPr>
        <w:t>- zapewnienie spójności lub ciągłości realizowanych inwestycji, zwłaszcza w obszarach przygranicznych danych gmin.</w:t>
      </w:r>
    </w:p>
    <w:p w:rsidR="00DC75FA" w:rsidRDefault="00DC75FA">
      <w:pPr>
        <w:spacing w:after="0"/>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 xml:space="preserve">Korzystając z doświadczeń ustalono podstawowe zasady współpracy oparte o art. 74 ustawy o samorządzie gminnym. Wszystkie ustawy samorządowe dopuszczają możliwość współdziałania jednostek w formie porozumienia. Art. 74 zawarty w rozdziale 7 Związki i porozumienia międzygminne, dotyczy wyłącznie porozumień międzygminnych, stanowiąc podstawę współdziałania gmin w formie porozumienia oraz lapidarnie określający istotę porozumienia. Z przepisu tego wynika, że istotą porozumienia jest powierzenie zadań przez gminy do wykonywania zadań jednej z nich (art. 74 ust. 1 </w:t>
      </w:r>
      <w:proofErr w:type="spellStart"/>
      <w:r>
        <w:rPr>
          <w:rFonts w:ascii="Times New Roman" w:hAnsi="Times New Roman" w:cs="Times New Roman"/>
        </w:rPr>
        <w:t>u.s.g</w:t>
      </w:r>
      <w:proofErr w:type="spellEnd"/>
      <w:r>
        <w:rPr>
          <w:rFonts w:ascii="Times New Roman" w:hAnsi="Times New Roman" w:cs="Times New Roman"/>
        </w:rPr>
        <w:t xml:space="preserve">.). Gmina przejmująca do wykonania zadania (gmina wykonująca) objęte porozumieniem przejmuje prawa i obowiązki pozostałych gmin związane z powierzonymi jej zadaniami. Gminy powierzające zadania mają, jak uprzednio wskazywano obowiązek udziału w kosztach realizacji powierzonych zadań (art. 74 ust. 2 </w:t>
      </w:r>
      <w:proofErr w:type="spellStart"/>
      <w:r>
        <w:rPr>
          <w:rFonts w:ascii="Times New Roman" w:hAnsi="Times New Roman" w:cs="Times New Roman"/>
        </w:rPr>
        <w:t>u.s.g</w:t>
      </w:r>
      <w:proofErr w:type="spellEnd"/>
      <w:r>
        <w:rPr>
          <w:rFonts w:ascii="Times New Roman" w:hAnsi="Times New Roman" w:cs="Times New Roman"/>
        </w:rPr>
        <w:t xml:space="preserve">.). Dopełnieniem tej regulacji w zakresie porozumieć międzygminnych jest art. 8 ust. 2b </w:t>
      </w:r>
      <w:proofErr w:type="spellStart"/>
      <w:r>
        <w:rPr>
          <w:rFonts w:ascii="Times New Roman" w:hAnsi="Times New Roman" w:cs="Times New Roman"/>
        </w:rPr>
        <w:t>u.s.g</w:t>
      </w:r>
      <w:proofErr w:type="spellEnd"/>
      <w:r>
        <w:rPr>
          <w:rFonts w:ascii="Times New Roman" w:hAnsi="Times New Roman" w:cs="Times New Roman"/>
        </w:rPr>
        <w:t>., który przekazuje kwestie sporne majątkowe wynikłe z porozumień do właściwości sądów powszechnych.</w:t>
      </w:r>
    </w:p>
    <w:p w:rsidR="00DC75FA" w:rsidRDefault="00887D84">
      <w:pPr>
        <w:jc w:val="both"/>
        <w:rPr>
          <w:rFonts w:ascii="Times New Roman" w:hAnsi="Times New Roman" w:cs="Times New Roman"/>
        </w:rPr>
      </w:pPr>
      <w:r>
        <w:rPr>
          <w:rFonts w:ascii="Times New Roman" w:hAnsi="Times New Roman" w:cs="Times New Roman"/>
        </w:rPr>
        <w:t xml:space="preserve">Kwestią jak dotychczas nie budzącą wątpliwości w świetle art. 74 ust. 1 oraz ust. 2 </w:t>
      </w:r>
      <w:proofErr w:type="spellStart"/>
      <w:r>
        <w:rPr>
          <w:rFonts w:ascii="Times New Roman" w:hAnsi="Times New Roman" w:cs="Times New Roman"/>
        </w:rPr>
        <w:t>u.s.g</w:t>
      </w:r>
      <w:proofErr w:type="spellEnd"/>
      <w:r>
        <w:rPr>
          <w:rFonts w:ascii="Times New Roman" w:hAnsi="Times New Roman" w:cs="Times New Roman"/>
        </w:rPr>
        <w:t xml:space="preserve">. jest to, że w przypadku porozumień gminnych, gmina przejmująca zadania na podstawie porozumienia realizuje je jako własne, we własnym imieniu i na własny rachunek. Nie oznacza to jednak uwolnienia gminy </w:t>
      </w:r>
      <w:r>
        <w:rPr>
          <w:rFonts w:ascii="Times New Roman" w:hAnsi="Times New Roman" w:cs="Times New Roman"/>
        </w:rPr>
        <w:lastRenderedPageBreak/>
        <w:t>przekazującej zadania od odpowiedzialności o charakterze politycznym za sposób wykonywania zadań przez gminę przejmującą.</w:t>
      </w:r>
    </w:p>
    <w:p w:rsidR="00DC75FA" w:rsidRDefault="00887D84">
      <w:pPr>
        <w:spacing w:after="0"/>
        <w:jc w:val="both"/>
        <w:rPr>
          <w:rFonts w:ascii="Times New Roman" w:hAnsi="Times New Roman" w:cs="Times New Roman"/>
        </w:rPr>
      </w:pPr>
      <w:r>
        <w:rPr>
          <w:rFonts w:ascii="Times New Roman" w:hAnsi="Times New Roman" w:cs="Times New Roman"/>
        </w:rPr>
        <w:t>W przypadku porozumienia dotyczącego obszaru „Zielone Zagłębie” gminy zgodziły się powierzyć Gminie Puchaczów- liderowi porozumienia koordynację zadań związaną z zawiązaniem partnerstwa, przygotowaniem Strategii. Na etapie wdrożenia Strategii lider partnerstwa będzie odpowiedzialny za prowadzenie sekretariatu, organizację spotkań i archiwizację dokumentacji związanej z:</w:t>
      </w:r>
    </w:p>
    <w:p w:rsidR="00DC75FA" w:rsidRDefault="00887D84">
      <w:pPr>
        <w:spacing w:after="0"/>
        <w:jc w:val="both"/>
        <w:rPr>
          <w:rFonts w:ascii="Times New Roman" w:hAnsi="Times New Roman" w:cs="Times New Roman"/>
        </w:rPr>
      </w:pPr>
      <w:r>
        <w:rPr>
          <w:rFonts w:ascii="Times New Roman" w:hAnsi="Times New Roman" w:cs="Times New Roman"/>
        </w:rPr>
        <w:t>- powołaniem Rady strategicznej,</w:t>
      </w:r>
    </w:p>
    <w:p w:rsidR="00DC75FA" w:rsidRDefault="00887D84">
      <w:pPr>
        <w:spacing w:after="0"/>
        <w:jc w:val="both"/>
        <w:rPr>
          <w:rFonts w:ascii="Times New Roman" w:hAnsi="Times New Roman" w:cs="Times New Roman"/>
        </w:rPr>
      </w:pPr>
      <w:r>
        <w:rPr>
          <w:rFonts w:ascii="Times New Roman" w:hAnsi="Times New Roman" w:cs="Times New Roman"/>
        </w:rPr>
        <w:t>- wysyłką zaproszeń na spotkania i przyjmowaniem potwierdzenia udziału,</w:t>
      </w:r>
    </w:p>
    <w:p w:rsidR="00DC75FA" w:rsidRDefault="00887D84">
      <w:pPr>
        <w:spacing w:after="0"/>
        <w:jc w:val="both"/>
        <w:rPr>
          <w:rFonts w:ascii="Times New Roman" w:hAnsi="Times New Roman" w:cs="Times New Roman"/>
        </w:rPr>
      </w:pPr>
      <w:r>
        <w:rPr>
          <w:rFonts w:ascii="Times New Roman" w:hAnsi="Times New Roman" w:cs="Times New Roman"/>
        </w:rPr>
        <w:t>- przygotowanie protokołów z posiedzeń Rady strategicznej oraz przygotowanie wzorów stanowisk przyjmowanych przez Radę,</w:t>
      </w:r>
    </w:p>
    <w:p w:rsidR="00DC75FA" w:rsidRDefault="00887D84">
      <w:pPr>
        <w:spacing w:after="0"/>
        <w:jc w:val="both"/>
        <w:rPr>
          <w:rFonts w:ascii="Times New Roman" w:hAnsi="Times New Roman" w:cs="Times New Roman"/>
        </w:rPr>
      </w:pPr>
      <w:r>
        <w:rPr>
          <w:rFonts w:ascii="Times New Roman" w:hAnsi="Times New Roman" w:cs="Times New Roman"/>
        </w:rPr>
        <w:t>- koordynację korespondencji z Urzędem Marszałkowskim i urzędami administracji rządowej w celu realizacji Strategii ponadlokalnej obszaru Zielonego Zagłębia,</w:t>
      </w:r>
    </w:p>
    <w:p w:rsidR="00DC75FA" w:rsidRDefault="00887D84">
      <w:pPr>
        <w:spacing w:after="0"/>
        <w:jc w:val="both"/>
        <w:rPr>
          <w:rFonts w:ascii="Times New Roman" w:hAnsi="Times New Roman" w:cs="Times New Roman"/>
        </w:rPr>
      </w:pPr>
      <w:r>
        <w:rPr>
          <w:rFonts w:ascii="Times New Roman" w:hAnsi="Times New Roman" w:cs="Times New Roman"/>
        </w:rPr>
        <w:t>- reprezentacji partnerstwa w kontaktach z zewnętrznymi instytucjami międzynarodowymi, krajowymi i regionalnymi.</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W przypadku podjęcia takiej decyzji przez minimum 3 gminy Porozumienia zadania lidera, o których mowa powyżej mogą być przekazane innej gminie – stronie porozumienia. Procedura zmiany będzie wymagała przyjęcia przez wszystkie gminy partnerskie uchwał rad gmin w sprawie wyrażenia zgody na partnerstwo i wskazania gminy Puchaczów jako lidera porozumienia.</w:t>
      </w:r>
    </w:p>
    <w:p w:rsidR="00DC75FA" w:rsidRDefault="00DC75FA">
      <w:pPr>
        <w:spacing w:after="0"/>
        <w:jc w:val="both"/>
        <w:rPr>
          <w:rFonts w:ascii="Times New Roman" w:hAnsi="Times New Roman" w:cs="Times New Roman"/>
        </w:rPr>
      </w:pPr>
    </w:p>
    <w:p w:rsidR="00DC75FA" w:rsidRDefault="00887D84">
      <w:pPr>
        <w:pStyle w:val="Legenda"/>
        <w:rPr>
          <w:rFonts w:ascii="Times New Roman" w:hAnsi="Times New Roman" w:cs="Times New Roman"/>
          <w:sz w:val="22"/>
          <w:szCs w:val="22"/>
        </w:rPr>
      </w:pPr>
      <w:bookmarkStart w:id="37" w:name="_Toc116896488"/>
      <w:r>
        <w:rPr>
          <w:rFonts w:ascii="Times New Roman" w:hAnsi="Times New Roman" w:cs="Times New Roman"/>
          <w:sz w:val="22"/>
          <w:szCs w:val="22"/>
        </w:rPr>
        <w:t xml:space="preserve">Rysunek </w:t>
      </w:r>
      <w:r>
        <w:rPr>
          <w:rFonts w:ascii="Times New Roman" w:hAnsi="Times New Roman" w:cs="Times New Roman"/>
          <w:sz w:val="22"/>
          <w:szCs w:val="22"/>
        </w:rPr>
        <w:fldChar w:fldCharType="begin"/>
      </w:r>
      <w:r>
        <w:rPr>
          <w:rFonts w:ascii="Times New Roman" w:hAnsi="Times New Roman" w:cs="Times New Roman"/>
          <w:sz w:val="22"/>
          <w:szCs w:val="22"/>
        </w:rPr>
        <w:instrText>SEQ Rysunek \* ARABIC</w:instrText>
      </w:r>
      <w:r>
        <w:rPr>
          <w:rFonts w:ascii="Times New Roman" w:hAnsi="Times New Roman" w:cs="Times New Roman"/>
          <w:sz w:val="22"/>
          <w:szCs w:val="22"/>
        </w:rPr>
        <w:fldChar w:fldCharType="separate"/>
      </w:r>
      <w:r>
        <w:rPr>
          <w:rFonts w:ascii="Times New Roman" w:hAnsi="Times New Roman" w:cs="Times New Roman"/>
          <w:sz w:val="22"/>
          <w:szCs w:val="22"/>
        </w:rPr>
        <w:t>3</w:t>
      </w:r>
      <w:r>
        <w:rPr>
          <w:rFonts w:ascii="Times New Roman" w:hAnsi="Times New Roman" w:cs="Times New Roman"/>
          <w:sz w:val="22"/>
          <w:szCs w:val="22"/>
        </w:rPr>
        <w:fldChar w:fldCharType="end"/>
      </w:r>
      <w:r>
        <w:rPr>
          <w:rFonts w:ascii="Times New Roman" w:hAnsi="Times New Roman" w:cs="Times New Roman"/>
          <w:sz w:val="22"/>
          <w:szCs w:val="22"/>
        </w:rPr>
        <w:t xml:space="preserve"> Struktura i system zarządzania Strategią Ponadlokalną</w:t>
      </w:r>
      <w:bookmarkEnd w:id="37"/>
    </w:p>
    <w:p w:rsidR="00DC75FA" w:rsidRDefault="00887D84">
      <w:pPr>
        <w:pStyle w:val="Legenda"/>
      </w:pPr>
      <w:r>
        <w:rPr>
          <w:noProof/>
          <w:lang w:eastAsia="pl-PL"/>
        </w:rPr>
        <w:drawing>
          <wp:inline distT="0" distB="0" distL="0" distR="0">
            <wp:extent cx="5587365" cy="2835275"/>
            <wp:effectExtent l="0" t="0" r="0" b="0"/>
            <wp:docPr id="3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4"/>
                    <pic:cNvPicPr>
                      <a:picLocks noChangeAspect="1" noChangeArrowheads="1"/>
                    </pic:cNvPicPr>
                  </pic:nvPicPr>
                  <pic:blipFill>
                    <a:blip r:embed="rId51"/>
                    <a:stretch>
                      <a:fillRect/>
                    </a:stretch>
                  </pic:blipFill>
                  <pic:spPr bwMode="auto">
                    <a:xfrm>
                      <a:off x="0" y="0"/>
                      <a:ext cx="5587365" cy="2835275"/>
                    </a:xfrm>
                    <a:prstGeom prst="rect">
                      <a:avLst/>
                    </a:prstGeom>
                  </pic:spPr>
                </pic:pic>
              </a:graphicData>
            </a:graphic>
          </wp:inline>
        </w:drawing>
      </w:r>
      <w:r>
        <w:t>Źródło: Opracowanie własne</w:t>
      </w:r>
    </w:p>
    <w:p w:rsidR="00DC75FA" w:rsidRDefault="00DC75FA">
      <w:pPr>
        <w:spacing w:after="0"/>
        <w:jc w:val="both"/>
        <w:rPr>
          <w:rFonts w:ascii="Times New Roman" w:hAnsi="Times New Roman" w:cs="Times New Roman"/>
        </w:rPr>
      </w:pPr>
    </w:p>
    <w:p w:rsidR="00DC75FA" w:rsidRDefault="00887D84">
      <w:pPr>
        <w:spacing w:after="0"/>
        <w:jc w:val="both"/>
        <w:rPr>
          <w:rFonts w:ascii="Times New Roman" w:hAnsi="Times New Roman" w:cs="Times New Roman"/>
        </w:rPr>
      </w:pPr>
      <w:r>
        <w:rPr>
          <w:rFonts w:ascii="Times New Roman" w:hAnsi="Times New Roman" w:cs="Times New Roman"/>
        </w:rPr>
        <w:t>Jak napisano wyżej kolegium wójtów tworzy Radę Strategiczną, która spotykać się będzie minimum raz na pół roku. Kompetencją Rady jest monitorowanie Strategii oraz powołanie zespołów zadaniowych do realizacji przedsięwzięć w każdym obszarze realizacji Strategii, tj. obszarze Zyskowne Przedsięwzięcia, obszarze Zerowe Zanieczyszczenia czy obszarze Zdrowe Społeczeństwo. W skład zespołów zadaniowych wchodzą przedstawiciele każdej z gmin. Koordynator zespołu zadaniowego zostaje wybrany przez członków zespołu zadaniowego spośród swojego grona niezależnie od zatrudnienia w którejkolwiek z gmin. Członkowie zespołów zadaniowych mają na celu:</w:t>
      </w:r>
    </w:p>
    <w:p w:rsidR="00DC75FA" w:rsidRDefault="00887D84">
      <w:pPr>
        <w:spacing w:after="0"/>
        <w:jc w:val="both"/>
        <w:rPr>
          <w:rFonts w:ascii="Times New Roman" w:hAnsi="Times New Roman" w:cs="Times New Roman"/>
        </w:rPr>
      </w:pPr>
      <w:r>
        <w:rPr>
          <w:rFonts w:ascii="Times New Roman" w:hAnsi="Times New Roman" w:cs="Times New Roman"/>
        </w:rPr>
        <w:t>- identyfikację przedsięwzięć wdrażających kierunki działań,</w:t>
      </w:r>
    </w:p>
    <w:p w:rsidR="00DC75FA" w:rsidRDefault="00887D84">
      <w:pPr>
        <w:spacing w:after="0"/>
        <w:jc w:val="both"/>
        <w:rPr>
          <w:rFonts w:ascii="Times New Roman" w:hAnsi="Times New Roman" w:cs="Times New Roman"/>
        </w:rPr>
      </w:pPr>
      <w:r>
        <w:rPr>
          <w:rFonts w:ascii="Times New Roman" w:hAnsi="Times New Roman" w:cs="Times New Roman"/>
        </w:rPr>
        <w:lastRenderedPageBreak/>
        <w:t>- powołanie grup roboczych do każdego przedsięwzięcia partnerskiego realizowanego minimum przez 2 gminy – przy czym członkowie grup roboczych są przedstawicielami gmin reprezentowanych w danym przedsięwzięciu. Możliwy jest udział jednego pracownika danej gminy w kilku grupach roboczych,</w:t>
      </w:r>
    </w:p>
    <w:p w:rsidR="00DC75FA" w:rsidRDefault="00887D84">
      <w:pPr>
        <w:spacing w:after="0"/>
        <w:jc w:val="both"/>
        <w:rPr>
          <w:rFonts w:ascii="Times New Roman" w:hAnsi="Times New Roman" w:cs="Times New Roman"/>
        </w:rPr>
      </w:pPr>
      <w:r>
        <w:rPr>
          <w:rFonts w:ascii="Times New Roman" w:hAnsi="Times New Roman" w:cs="Times New Roman"/>
        </w:rPr>
        <w:t>- monitorowanie postępu przygotowania wniosków aplikacyjnych wraz z załącznikami oraz postępu realizacji projektu i wskaźników realizacji przedsięwzięć,</w:t>
      </w:r>
    </w:p>
    <w:p w:rsidR="00DC75FA" w:rsidRDefault="00887D84">
      <w:pPr>
        <w:spacing w:after="0"/>
        <w:jc w:val="both"/>
        <w:rPr>
          <w:rFonts w:ascii="Times New Roman" w:hAnsi="Times New Roman" w:cs="Times New Roman"/>
        </w:rPr>
      </w:pPr>
      <w:r>
        <w:rPr>
          <w:rFonts w:ascii="Times New Roman" w:hAnsi="Times New Roman" w:cs="Times New Roman"/>
        </w:rPr>
        <w:t>- informowanie Rady Strategicznej o postępach realizacji Strategii, zidentyfikowanych ryzykach oraz napotkanych problemach we wdrażaniu Strategii.</w:t>
      </w:r>
    </w:p>
    <w:p w:rsidR="00DC75FA" w:rsidRDefault="00DC75FA">
      <w:pPr>
        <w:spacing w:after="0"/>
        <w:jc w:val="both"/>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 xml:space="preserve">Grupy robocze złożone są z pracowników bezpośrednio zaangażowanych w przygotowanie wniosku aplikacyjnego danego przedsięwzięcia oraz jego realizację. Ryzyka oraz postępy prac raportują koordynatorom zespołów roboczych na bieżąco, nie rzadziej jednak niż raz na kwartał. </w:t>
      </w:r>
    </w:p>
    <w:p w:rsidR="00DC75FA" w:rsidRDefault="00887D84">
      <w:pPr>
        <w:pStyle w:val="Legenda"/>
        <w:rPr>
          <w:rFonts w:ascii="Times New Roman" w:hAnsi="Times New Roman" w:cs="Times New Roman"/>
          <w:sz w:val="22"/>
          <w:szCs w:val="22"/>
        </w:rPr>
      </w:pPr>
      <w:r>
        <w:br w:type="page"/>
      </w:r>
    </w:p>
    <w:p w:rsidR="00DC75FA" w:rsidRDefault="00887D84">
      <w:pPr>
        <w:pStyle w:val="Nagwek1"/>
        <w:numPr>
          <w:ilvl w:val="0"/>
          <w:numId w:val="7"/>
        </w:numPr>
        <w:rPr>
          <w:rFonts w:ascii="Times New Roman" w:hAnsi="Times New Roman" w:cs="Times New Roman"/>
        </w:rPr>
      </w:pPr>
      <w:bookmarkStart w:id="38" w:name="_Toc105754701"/>
      <w:r>
        <w:rPr>
          <w:rFonts w:ascii="Times New Roman" w:hAnsi="Times New Roman" w:cs="Times New Roman"/>
        </w:rPr>
        <w:lastRenderedPageBreak/>
        <w:t>Monitoring i ewaluacja strategii</w:t>
      </w:r>
      <w:bookmarkEnd w:id="38"/>
      <w:r>
        <w:rPr>
          <w:rFonts w:ascii="Times New Roman" w:hAnsi="Times New Roman" w:cs="Times New Roman"/>
        </w:rPr>
        <w:t xml:space="preserve"> </w:t>
      </w:r>
    </w:p>
    <w:p w:rsidR="00DC75FA" w:rsidRDefault="00DC75FA">
      <w:pPr>
        <w:rPr>
          <w:rFonts w:ascii="Times New Roman" w:hAnsi="Times New Roman" w:cs="Times New Roman"/>
        </w:rPr>
      </w:pPr>
    </w:p>
    <w:p w:rsidR="00DC75FA" w:rsidRDefault="00887D84">
      <w:pPr>
        <w:jc w:val="both"/>
        <w:rPr>
          <w:rFonts w:ascii="Times New Roman" w:hAnsi="Times New Roman" w:cs="Times New Roman"/>
        </w:rPr>
      </w:pPr>
      <w:r>
        <w:rPr>
          <w:rFonts w:ascii="Times New Roman" w:hAnsi="Times New Roman" w:cs="Times New Roman"/>
        </w:rPr>
        <w:t>System monitorowania i ewaluacji jest ważnym elementem w procesie wdrażania Strategii Ponadlokalnej Zielone Zagłębie. Środki finansowe na monitoring i ocenę Strategii zostaną zapewnione w ramach kosztów administracyjnych urzędów gmin odpowiedzialnych za kierowanie grupą roboczą lub grupami roboczymi do spraw przedsięwzięć planowanych do realizacji lub realizowanych w ramach Strategii.</w:t>
      </w:r>
    </w:p>
    <w:p w:rsidR="00DC75FA" w:rsidRDefault="00887D84">
      <w:pPr>
        <w:jc w:val="both"/>
        <w:rPr>
          <w:rFonts w:ascii="Times New Roman" w:hAnsi="Times New Roman" w:cs="Times New Roman"/>
        </w:rPr>
      </w:pPr>
      <w:r>
        <w:rPr>
          <w:rFonts w:ascii="Times New Roman" w:hAnsi="Times New Roman" w:cs="Times New Roman"/>
        </w:rPr>
        <w:t xml:space="preserve">Dane z monitoringu prowadzonego przez poszczególne grupy robocze będą przekazywane zespołom zadaniowym dla każdego z trzech obszarów Strategii. Sprawozdanie - zbiorcze zestawienie wskaźników monitoringu wraz z uwagami dotyczącymi postępu wdrażania Strategii, dobrych praktyk, zidentyfikowanych </w:t>
      </w:r>
      <w:proofErr w:type="spellStart"/>
      <w:r>
        <w:rPr>
          <w:rFonts w:ascii="Times New Roman" w:hAnsi="Times New Roman" w:cs="Times New Roman"/>
        </w:rPr>
        <w:t>ryzyk</w:t>
      </w:r>
      <w:proofErr w:type="spellEnd"/>
      <w:r>
        <w:rPr>
          <w:rFonts w:ascii="Times New Roman" w:hAnsi="Times New Roman" w:cs="Times New Roman"/>
        </w:rPr>
        <w:t>, zostanie przekazane Radzie Strategicznej na każdym pierwszym spotkaniu w danym roku kalendarzowym. Sprawozdanie będzie dotyczyło zakończonego roku budżetowego, przy czym ostatnia część sprawozdania będzie prezentowała wskaźniki narastająco od daty przyjęcia Strategii. Dane monitoringowe posłużą do oceny skuteczności realizowanych działań i pozwolą na bardziej efektywne wydatkowanie środków publicznych.</w:t>
      </w:r>
    </w:p>
    <w:p w:rsidR="00DC75FA" w:rsidRDefault="00887D84">
      <w:pPr>
        <w:jc w:val="both"/>
        <w:rPr>
          <w:rFonts w:ascii="Times New Roman" w:hAnsi="Times New Roman" w:cs="Times New Roman"/>
        </w:rPr>
      </w:pPr>
      <w:r>
        <w:rPr>
          <w:rFonts w:ascii="Times New Roman" w:hAnsi="Times New Roman" w:cs="Times New Roman"/>
        </w:rPr>
        <w:t>Zakłada się, że instytucją odpowiedzialną za ogólną koordynację i monitorowanie procesu realizacji Strategii będzie lider porozumienia - Urząd Gminy Puchaczów, którego zadaniem (finansowanym ze środków budżetu gminy) będzie w szczególności:</w:t>
      </w:r>
    </w:p>
    <w:p w:rsidR="00DC75FA" w:rsidRDefault="00887D84">
      <w:pPr>
        <w:pStyle w:val="Akapitzlist"/>
        <w:numPr>
          <w:ilvl w:val="0"/>
          <w:numId w:val="12"/>
        </w:numPr>
        <w:rPr>
          <w:rFonts w:ascii="Times New Roman" w:hAnsi="Times New Roman" w:cs="Times New Roman"/>
        </w:rPr>
      </w:pPr>
      <w:r>
        <w:rPr>
          <w:rFonts w:ascii="Times New Roman" w:hAnsi="Times New Roman" w:cs="Times New Roman"/>
        </w:rPr>
        <w:t>prowadzenie zaplecza administracyjnego Rady Strategicznej,</w:t>
      </w:r>
    </w:p>
    <w:p w:rsidR="00DC75FA" w:rsidRDefault="00887D84">
      <w:pPr>
        <w:pStyle w:val="Akapitzlist"/>
        <w:numPr>
          <w:ilvl w:val="0"/>
          <w:numId w:val="12"/>
        </w:numPr>
        <w:rPr>
          <w:rFonts w:ascii="Times New Roman" w:hAnsi="Times New Roman" w:cs="Times New Roman"/>
        </w:rPr>
      </w:pPr>
      <w:r>
        <w:rPr>
          <w:rFonts w:ascii="Times New Roman" w:hAnsi="Times New Roman" w:cs="Times New Roman"/>
        </w:rPr>
        <w:t>archiwizacja dokumentów sprawozdawczych – sprawozdań, raportów, protokołów ze spotkań Rady Strategicznej.</w:t>
      </w:r>
    </w:p>
    <w:p w:rsidR="00DC75FA" w:rsidRDefault="00887D84">
      <w:pPr>
        <w:pStyle w:val="Akapitzlist"/>
        <w:numPr>
          <w:ilvl w:val="0"/>
          <w:numId w:val="12"/>
        </w:numPr>
        <w:rPr>
          <w:rFonts w:ascii="Times New Roman" w:hAnsi="Times New Roman" w:cs="Times New Roman"/>
        </w:rPr>
      </w:pPr>
      <w:r>
        <w:rPr>
          <w:rFonts w:ascii="Times New Roman" w:hAnsi="Times New Roman" w:cs="Times New Roman"/>
        </w:rPr>
        <w:t>wydawanie opinii o zgodności planowanej inwestycji/zadania z zapisami planu (w przypadku gdy taka opinia jest wymagana),</w:t>
      </w:r>
    </w:p>
    <w:p w:rsidR="00DC75FA" w:rsidRDefault="00887D84">
      <w:pPr>
        <w:pStyle w:val="Akapitzlist"/>
        <w:numPr>
          <w:ilvl w:val="0"/>
          <w:numId w:val="12"/>
        </w:numPr>
        <w:rPr>
          <w:rFonts w:ascii="Times New Roman" w:hAnsi="Times New Roman" w:cs="Times New Roman"/>
        </w:rPr>
      </w:pPr>
      <w:r>
        <w:rPr>
          <w:rFonts w:ascii="Times New Roman" w:hAnsi="Times New Roman" w:cs="Times New Roman"/>
        </w:rPr>
        <w:t>inicjowanie i koordynowanie opracowania średniookresowych dokumentów programowych (np. program termomodernizacji bazy oświatowej, program edukacji ekologicznej),</w:t>
      </w:r>
    </w:p>
    <w:p w:rsidR="00DC75FA" w:rsidRDefault="00887D84">
      <w:pPr>
        <w:pStyle w:val="Akapitzlist"/>
        <w:numPr>
          <w:ilvl w:val="0"/>
          <w:numId w:val="12"/>
        </w:numPr>
        <w:jc w:val="both"/>
        <w:rPr>
          <w:rFonts w:ascii="Times New Roman" w:hAnsi="Times New Roman" w:cs="Times New Roman"/>
        </w:rPr>
      </w:pPr>
      <w:r>
        <w:rPr>
          <w:rFonts w:ascii="Times New Roman" w:hAnsi="Times New Roman" w:cs="Times New Roman"/>
        </w:rPr>
        <w:t>informowanie społeczności lokalnej o istnieniu planu i obranych kierunkach rozwoju, a także o postępach i efektach jego wdrażania.</w:t>
      </w:r>
    </w:p>
    <w:p w:rsidR="00DC75FA" w:rsidRDefault="00887D84">
      <w:pPr>
        <w:jc w:val="both"/>
        <w:rPr>
          <w:rFonts w:ascii="Times New Roman" w:hAnsi="Times New Roman" w:cs="Times New Roman"/>
        </w:rPr>
      </w:pPr>
      <w:r>
        <w:rPr>
          <w:rFonts w:ascii="Times New Roman" w:hAnsi="Times New Roman" w:cs="Times New Roman"/>
        </w:rPr>
        <w:t>Ocena postępów we wdrażaniu Strategii będzie dokonywana w cyklu rocznym i będzie bazowała na zestawie:</w:t>
      </w:r>
    </w:p>
    <w:p w:rsidR="00DC75FA" w:rsidRDefault="00887D84">
      <w:pPr>
        <w:pStyle w:val="Akapitzlist"/>
        <w:numPr>
          <w:ilvl w:val="0"/>
          <w:numId w:val="13"/>
        </w:numPr>
        <w:jc w:val="both"/>
        <w:rPr>
          <w:rFonts w:ascii="Times New Roman" w:hAnsi="Times New Roman" w:cs="Times New Roman"/>
        </w:rPr>
      </w:pPr>
      <w:r>
        <w:rPr>
          <w:rFonts w:ascii="Times New Roman" w:hAnsi="Times New Roman" w:cs="Times New Roman"/>
        </w:rPr>
        <w:t xml:space="preserve">wskaźników statystycznych dostępnych w Banku Danych Lokalnych GUS; </w:t>
      </w:r>
    </w:p>
    <w:p w:rsidR="00DC75FA" w:rsidRDefault="00887D84">
      <w:pPr>
        <w:pStyle w:val="Akapitzlist"/>
        <w:numPr>
          <w:ilvl w:val="0"/>
          <w:numId w:val="13"/>
        </w:numPr>
        <w:jc w:val="both"/>
        <w:rPr>
          <w:rFonts w:ascii="Times New Roman" w:hAnsi="Times New Roman" w:cs="Times New Roman"/>
        </w:rPr>
      </w:pPr>
      <w:r>
        <w:rPr>
          <w:rFonts w:ascii="Times New Roman" w:hAnsi="Times New Roman" w:cs="Times New Roman"/>
        </w:rPr>
        <w:t>danych pozyskanych od realizatorów projektów za pośrednictwem sprawozdań grup roboczych do spraw konkretnych przedsięwzięć, przekazywanych do zespołu zadaniowego dla każdego z obszarów i agregowanych do sprawozdania rocznego dla każdego z obszarów;</w:t>
      </w:r>
    </w:p>
    <w:p w:rsidR="00DC75FA" w:rsidRDefault="00887D84">
      <w:pPr>
        <w:pStyle w:val="Akapitzlist"/>
        <w:numPr>
          <w:ilvl w:val="0"/>
          <w:numId w:val="13"/>
        </w:numPr>
        <w:jc w:val="both"/>
        <w:rPr>
          <w:rFonts w:ascii="Times New Roman" w:hAnsi="Times New Roman" w:cs="Times New Roman"/>
        </w:rPr>
      </w:pPr>
      <w:r>
        <w:rPr>
          <w:rFonts w:ascii="Times New Roman" w:hAnsi="Times New Roman" w:cs="Times New Roman"/>
        </w:rPr>
        <w:t>danych dostępnych w ogólnodostępnych bazach danych tj. KRS, CEIDG, CEPIK itp.</w:t>
      </w:r>
    </w:p>
    <w:p w:rsidR="00DC75FA" w:rsidRDefault="00887D84">
      <w:pPr>
        <w:jc w:val="both"/>
        <w:rPr>
          <w:rFonts w:ascii="Times New Roman" w:hAnsi="Times New Roman" w:cs="Times New Roman"/>
        </w:rPr>
      </w:pPr>
      <w:r>
        <w:rPr>
          <w:rFonts w:ascii="Times New Roman" w:hAnsi="Times New Roman" w:cs="Times New Roman"/>
        </w:rPr>
        <w:t>Ponadto projekty kluczowe, zidentyfikowane na etapie przygotowania strategii i przedstawione w tabeli finansowej, realizowane z udziałem środków zewnętrznych, będą monitorowane zgodnie z umową o dofinansowanie i wytycznymi w ramach poszczególnych programów. Przykładowe wskaźniki wskazano w tabeli poniżej.</w:t>
      </w:r>
    </w:p>
    <w:p w:rsidR="00DC75FA" w:rsidRDefault="00887D84">
      <w:pPr>
        <w:pStyle w:val="Legenda"/>
        <w:rPr>
          <w:rFonts w:ascii="Times New Roman" w:hAnsi="Times New Roman" w:cs="Times New Roman"/>
        </w:rPr>
      </w:pPr>
      <w:bookmarkStart w:id="39" w:name="_Toc75897199"/>
      <w:r>
        <w:rPr>
          <w:rFonts w:ascii="Times New Roman" w:hAnsi="Times New Roman" w:cs="Times New Roman"/>
        </w:rPr>
        <w:t xml:space="preserve">Tabela </w:t>
      </w:r>
      <w:r>
        <w:rPr>
          <w:rFonts w:ascii="Times New Roman" w:hAnsi="Times New Roman" w:cs="Times New Roman"/>
        </w:rPr>
        <w:fldChar w:fldCharType="begin"/>
      </w:r>
      <w:r>
        <w:rPr>
          <w:rFonts w:ascii="Times New Roman" w:hAnsi="Times New Roman" w:cs="Times New Roman"/>
        </w:rPr>
        <w:instrText>SEQ Tabela \* ARABIC</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Wskaźniki monitorowania Strategii</w:t>
      </w:r>
      <w:bookmarkEnd w:id="39"/>
    </w:p>
    <w:tbl>
      <w:tblPr>
        <w:tblStyle w:val="GridTable4Accent5"/>
        <w:tblW w:w="9203" w:type="dxa"/>
        <w:tblLook w:val="04A0" w:firstRow="1" w:lastRow="0" w:firstColumn="1" w:lastColumn="0" w:noHBand="0" w:noVBand="1"/>
      </w:tblPr>
      <w:tblGrid>
        <w:gridCol w:w="9203"/>
      </w:tblGrid>
      <w:tr w:rsidR="00DC75FA" w:rsidTr="00DC75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Borders>
              <w:top w:val="single" w:sz="4" w:space="0" w:color="4472C4"/>
              <w:left w:val="single" w:sz="4" w:space="0" w:color="4472C4"/>
              <w:bottom w:val="single" w:sz="4" w:space="0" w:color="4472C4"/>
              <w:right w:val="single" w:sz="4" w:space="0" w:color="4472C4"/>
            </w:tcBorders>
            <w:shd w:val="clear" w:color="auto" w:fill="2E74B5" w:themeFill="accent1" w:themeFillShade="BF"/>
          </w:tcPr>
          <w:p w:rsidR="00DC75FA" w:rsidRDefault="00887D84">
            <w:pPr>
              <w:spacing w:after="0" w:line="240" w:lineRule="auto"/>
              <w:rPr>
                <w:rFonts w:ascii="Times New Roman" w:hAnsi="Times New Roman" w:cs="Times New Roman"/>
              </w:rPr>
            </w:pPr>
            <w:r>
              <w:rPr>
                <w:rFonts w:ascii="Times New Roman" w:hAnsi="Times New Roman" w:cs="Times New Roman"/>
              </w:rPr>
              <w:t>Wskaźniki ogólne</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rsidR="00DC75FA" w:rsidRDefault="00887D84">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liczba przedsięwzięć partnerskich realizowanych przez minimum 2 gminy</w:t>
            </w:r>
          </w:p>
          <w:p w:rsidR="00DC75FA" w:rsidRDefault="00887D84">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liczba przedsięwzięć realizowanych przez poszczególne gminy w ramach wiązki projektów</w:t>
            </w:r>
          </w:p>
          <w:p w:rsidR="00DC75FA" w:rsidRDefault="00887D84">
            <w:pPr>
              <w:pStyle w:val="Akapitzlist"/>
              <w:numPr>
                <w:ilvl w:val="0"/>
                <w:numId w:val="23"/>
              </w:numPr>
              <w:spacing w:after="0" w:line="240" w:lineRule="auto"/>
              <w:rPr>
                <w:rFonts w:ascii="Times New Roman" w:hAnsi="Times New Roman" w:cs="Times New Roman"/>
              </w:rPr>
            </w:pPr>
            <w:r>
              <w:rPr>
                <w:rFonts w:ascii="Times New Roman" w:hAnsi="Times New Roman" w:cs="Times New Roman"/>
              </w:rPr>
              <w:t>liczba projektów komplementarnych realizowanych indywidualnie przez gminy i partnerów społeczno-gospodarczych</w:t>
            </w:r>
          </w:p>
        </w:tc>
      </w:tr>
      <w:tr w:rsidR="00DC75FA" w:rsidTr="00DC75FA">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rsidR="00DC75FA" w:rsidRDefault="00887D84">
            <w:pPr>
              <w:spacing w:after="0" w:line="240" w:lineRule="auto"/>
              <w:rPr>
                <w:rFonts w:ascii="Times New Roman" w:hAnsi="Times New Roman" w:cs="Times New Roman"/>
              </w:rPr>
            </w:pPr>
            <w:r>
              <w:rPr>
                <w:rFonts w:ascii="Times New Roman" w:hAnsi="Times New Roman" w:cs="Times New Roman"/>
              </w:rPr>
              <w:lastRenderedPageBreak/>
              <w:t>Cel 1: Innowacyjny rozwój gospodarki oparty na systemie edukacji, lokalnym potencjale przyrodniczym i sieciach powiązań</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rsidR="00DC75FA" w:rsidRDefault="00887D84">
            <w:pPr>
              <w:pStyle w:val="Akapitzlist"/>
              <w:numPr>
                <w:ilvl w:val="0"/>
                <w:numId w:val="22"/>
              </w:numPr>
              <w:spacing w:after="0" w:line="240" w:lineRule="auto"/>
              <w:rPr>
                <w:rFonts w:ascii="Times New Roman" w:hAnsi="Times New Roman" w:cs="Times New Roman"/>
              </w:rPr>
            </w:pPr>
            <w:r>
              <w:rPr>
                <w:rFonts w:ascii="Times New Roman" w:hAnsi="Times New Roman" w:cs="Times New Roman"/>
              </w:rPr>
              <w:t xml:space="preserve">Powierzchnia wspieranych zrekultywowanych gruntów </w:t>
            </w:r>
          </w:p>
          <w:p w:rsidR="00DC75FA" w:rsidRDefault="00887D84">
            <w:pPr>
              <w:pStyle w:val="Akapitzlist"/>
              <w:numPr>
                <w:ilvl w:val="0"/>
                <w:numId w:val="22"/>
              </w:numPr>
              <w:spacing w:after="0" w:line="240" w:lineRule="auto"/>
              <w:rPr>
                <w:rFonts w:ascii="Times New Roman" w:hAnsi="Times New Roman" w:cs="Times New Roman"/>
              </w:rPr>
            </w:pPr>
            <w:r>
              <w:rPr>
                <w:rFonts w:ascii="Times New Roman" w:hAnsi="Times New Roman" w:cs="Times New Roman"/>
              </w:rPr>
              <w:t xml:space="preserve">Powierzchnia terenów zrekultywowanych wykorzystywanych jako tereny zielone, pod budowę mieszkań socjalnych lub pod działalność gospodarczą lub społeczną </w:t>
            </w:r>
          </w:p>
          <w:p w:rsidR="00DC75FA" w:rsidRDefault="00887D84">
            <w:pPr>
              <w:pStyle w:val="Akapitzlist"/>
              <w:numPr>
                <w:ilvl w:val="0"/>
                <w:numId w:val="22"/>
              </w:numPr>
              <w:spacing w:after="0" w:line="240" w:lineRule="auto"/>
              <w:rPr>
                <w:rFonts w:ascii="Times New Roman" w:hAnsi="Times New Roman" w:cs="Times New Roman"/>
              </w:rPr>
            </w:pPr>
            <w:r>
              <w:rPr>
                <w:rFonts w:ascii="Times New Roman" w:hAnsi="Times New Roman" w:cs="Times New Roman"/>
              </w:rPr>
              <w:t>Powierzchnia terenów inwestycyjnych, w tym uzbrojonych</w:t>
            </w:r>
          </w:p>
          <w:p w:rsidR="00DC75FA" w:rsidRDefault="00887D84">
            <w:pPr>
              <w:pStyle w:val="Akapitzlist"/>
              <w:numPr>
                <w:ilvl w:val="0"/>
                <w:numId w:val="22"/>
              </w:numPr>
              <w:spacing w:after="0" w:line="240" w:lineRule="auto"/>
              <w:rPr>
                <w:rFonts w:ascii="Times New Roman" w:hAnsi="Times New Roman" w:cs="Times New Roman"/>
              </w:rPr>
            </w:pPr>
            <w:r>
              <w:rPr>
                <w:rFonts w:ascii="Times New Roman" w:hAnsi="Times New Roman" w:cs="Times New Roman"/>
              </w:rPr>
              <w:t xml:space="preserve">Wytworzona zdolność inkubacji przedsiębiorstw </w:t>
            </w:r>
          </w:p>
          <w:p w:rsidR="00DC75FA" w:rsidRDefault="00887D84">
            <w:pPr>
              <w:pStyle w:val="Akapitzlist"/>
              <w:numPr>
                <w:ilvl w:val="0"/>
                <w:numId w:val="22"/>
              </w:numPr>
              <w:spacing w:after="0" w:line="240" w:lineRule="auto"/>
              <w:rPr>
                <w:rFonts w:ascii="Times New Roman" w:hAnsi="Times New Roman" w:cs="Times New Roman"/>
              </w:rPr>
            </w:pPr>
            <w:r>
              <w:rPr>
                <w:rFonts w:ascii="Times New Roman" w:hAnsi="Times New Roman" w:cs="Times New Roman"/>
              </w:rPr>
              <w:t>MŚP korzystające z usług inkubatora przedsiębiorczości jeden rok po jego utworzeniu</w:t>
            </w:r>
          </w:p>
          <w:p w:rsidR="00DC75FA" w:rsidRDefault="00887D84">
            <w:pPr>
              <w:pStyle w:val="Akapitzlist"/>
              <w:numPr>
                <w:ilvl w:val="0"/>
                <w:numId w:val="22"/>
              </w:numPr>
              <w:spacing w:after="0" w:line="240" w:lineRule="auto"/>
              <w:rPr>
                <w:rFonts w:ascii="Times New Roman" w:hAnsi="Times New Roman" w:cs="Times New Roman"/>
              </w:rPr>
            </w:pPr>
            <w:r>
              <w:rPr>
                <w:rFonts w:ascii="Times New Roman" w:hAnsi="Times New Roman" w:cs="Times New Roman"/>
              </w:rPr>
              <w:t xml:space="preserve">Miejsca pracy utworzone we wspieranych podmiotach </w:t>
            </w:r>
          </w:p>
          <w:p w:rsidR="00DC75FA" w:rsidRDefault="00887D84">
            <w:pPr>
              <w:pStyle w:val="Akapitzlist"/>
              <w:numPr>
                <w:ilvl w:val="0"/>
                <w:numId w:val="22"/>
              </w:numPr>
              <w:spacing w:after="0" w:line="240" w:lineRule="auto"/>
              <w:rPr>
                <w:rFonts w:ascii="Times New Roman" w:hAnsi="Times New Roman" w:cs="Times New Roman"/>
              </w:rPr>
            </w:pPr>
            <w:r>
              <w:rPr>
                <w:rFonts w:ascii="Times New Roman" w:hAnsi="Times New Roman" w:cs="Times New Roman"/>
              </w:rPr>
              <w:t>Liczba nowych miejsc wychowania przedszkolnego i opieki nad dzieckiem do lat 5</w:t>
            </w:r>
          </w:p>
          <w:p w:rsidR="00DC75FA" w:rsidRDefault="00887D84">
            <w:pPr>
              <w:pStyle w:val="Akapitzlist"/>
              <w:numPr>
                <w:ilvl w:val="0"/>
                <w:numId w:val="22"/>
              </w:numPr>
              <w:spacing w:after="0" w:line="240" w:lineRule="auto"/>
              <w:rPr>
                <w:rFonts w:ascii="Times New Roman" w:hAnsi="Times New Roman" w:cs="Times New Roman"/>
              </w:rPr>
            </w:pPr>
            <w:r>
              <w:rPr>
                <w:rFonts w:ascii="Times New Roman" w:hAnsi="Times New Roman" w:cs="Times New Roman"/>
              </w:rPr>
              <w:t>Liczba praktykantów, stażystów odbywających praktyki, staże w przedsiębiorstwach,</w:t>
            </w:r>
          </w:p>
          <w:p w:rsidR="00DC75FA" w:rsidRDefault="00DC75FA">
            <w:pPr>
              <w:spacing w:after="0" w:line="240" w:lineRule="auto"/>
              <w:rPr>
                <w:rFonts w:ascii="Times New Roman" w:hAnsi="Times New Roman" w:cs="Times New Roman"/>
              </w:rPr>
            </w:pPr>
          </w:p>
        </w:tc>
      </w:tr>
      <w:tr w:rsidR="00DC75FA" w:rsidTr="00DC75FA">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rsidR="00DC75FA" w:rsidRDefault="00887D84">
            <w:pPr>
              <w:spacing w:after="0" w:line="240" w:lineRule="auto"/>
              <w:rPr>
                <w:rFonts w:ascii="Times New Roman" w:hAnsi="Times New Roman" w:cs="Times New Roman"/>
              </w:rPr>
            </w:pPr>
            <w:r>
              <w:rPr>
                <w:rFonts w:ascii="Times New Roman" w:hAnsi="Times New Roman" w:cs="Times New Roman"/>
              </w:rPr>
              <w:t xml:space="preserve">Cel 2: Przeciwdziałanie wykluczeniu i profilaktyka, wsparcie grup </w:t>
            </w:r>
            <w:proofErr w:type="spellStart"/>
            <w:r>
              <w:rPr>
                <w:rFonts w:ascii="Times New Roman" w:hAnsi="Times New Roman" w:cs="Times New Roman"/>
              </w:rPr>
              <w:t>defaworyzowanych</w:t>
            </w:r>
            <w:proofErr w:type="spellEnd"/>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rsidR="00DC75FA" w:rsidRDefault="00887D84">
            <w:pPr>
              <w:pStyle w:val="Akapitzlist"/>
              <w:numPr>
                <w:ilvl w:val="0"/>
                <w:numId w:val="24"/>
              </w:numPr>
              <w:spacing w:after="0" w:line="240" w:lineRule="auto"/>
              <w:rPr>
                <w:rFonts w:ascii="Times New Roman" w:hAnsi="Times New Roman" w:cs="Times New Roman"/>
              </w:rPr>
            </w:pPr>
            <w:r>
              <w:rPr>
                <w:rFonts w:ascii="Times New Roman" w:hAnsi="Times New Roman" w:cs="Times New Roman"/>
              </w:rPr>
              <w:t xml:space="preserve">Liczba utworzonych Klubów Seniora </w:t>
            </w:r>
          </w:p>
          <w:p w:rsidR="00DC75FA" w:rsidRDefault="00887D84">
            <w:pPr>
              <w:pStyle w:val="Akapitzlist"/>
              <w:numPr>
                <w:ilvl w:val="0"/>
                <w:numId w:val="24"/>
              </w:numPr>
              <w:spacing w:after="0" w:line="240" w:lineRule="auto"/>
              <w:rPr>
                <w:rFonts w:ascii="Times New Roman" w:hAnsi="Times New Roman" w:cs="Times New Roman"/>
              </w:rPr>
            </w:pPr>
            <w:r>
              <w:rPr>
                <w:rFonts w:ascii="Times New Roman" w:hAnsi="Times New Roman" w:cs="Times New Roman"/>
              </w:rPr>
              <w:t xml:space="preserve">Liczba odbiorców usług społecznych </w:t>
            </w:r>
          </w:p>
          <w:p w:rsidR="00DC75FA" w:rsidRDefault="00887D84">
            <w:pPr>
              <w:pStyle w:val="Akapitzlist"/>
              <w:numPr>
                <w:ilvl w:val="0"/>
                <w:numId w:val="24"/>
              </w:numPr>
              <w:spacing w:after="0" w:line="240" w:lineRule="auto"/>
              <w:rPr>
                <w:rFonts w:ascii="Times New Roman" w:hAnsi="Times New Roman" w:cs="Times New Roman"/>
              </w:rPr>
            </w:pPr>
            <w:r>
              <w:rPr>
                <w:rFonts w:ascii="Times New Roman" w:hAnsi="Times New Roman" w:cs="Times New Roman"/>
              </w:rPr>
              <w:t xml:space="preserve">Liczba miejsc w nowych ośrodkach wsparcia (dziennych i całodobowych) </w:t>
            </w:r>
          </w:p>
          <w:p w:rsidR="00DC75FA" w:rsidRDefault="00887D84">
            <w:pPr>
              <w:pStyle w:val="Akapitzlist"/>
              <w:numPr>
                <w:ilvl w:val="0"/>
                <w:numId w:val="24"/>
              </w:numPr>
              <w:spacing w:after="0" w:line="240" w:lineRule="auto"/>
              <w:rPr>
                <w:rFonts w:ascii="Times New Roman" w:hAnsi="Times New Roman" w:cs="Times New Roman"/>
              </w:rPr>
            </w:pPr>
            <w:r>
              <w:rPr>
                <w:rFonts w:ascii="Times New Roman" w:hAnsi="Times New Roman" w:cs="Times New Roman"/>
              </w:rPr>
              <w:t xml:space="preserve">Liczba osób korzystających z form rehabilitacji </w:t>
            </w:r>
          </w:p>
          <w:p w:rsidR="00DC75FA" w:rsidRDefault="00DC75FA">
            <w:pPr>
              <w:spacing w:after="0" w:line="240" w:lineRule="auto"/>
              <w:rPr>
                <w:rFonts w:ascii="Times New Roman" w:hAnsi="Times New Roman" w:cs="Times New Roman"/>
              </w:rPr>
            </w:pPr>
          </w:p>
        </w:tc>
      </w:tr>
      <w:tr w:rsidR="00DC75FA" w:rsidTr="00DC75FA">
        <w:tc>
          <w:tcPr>
            <w:cnfStyle w:val="001000000000" w:firstRow="0" w:lastRow="0" w:firstColumn="1" w:lastColumn="0" w:oddVBand="0" w:evenVBand="0" w:oddHBand="0" w:evenHBand="0" w:firstRowFirstColumn="0" w:firstRowLastColumn="0" w:lastRowFirstColumn="0" w:lastRowLastColumn="0"/>
            <w:tcW w:w="9203" w:type="dxa"/>
            <w:shd w:val="clear" w:color="auto" w:fill="2E74B5" w:themeFill="accent1" w:themeFillShade="BF"/>
          </w:tcPr>
          <w:p w:rsidR="00DC75FA" w:rsidRDefault="00887D84">
            <w:pPr>
              <w:spacing w:after="0" w:line="240" w:lineRule="auto"/>
              <w:rPr>
                <w:rFonts w:ascii="Times New Roman" w:hAnsi="Times New Roman" w:cs="Times New Roman"/>
              </w:rPr>
            </w:pPr>
            <w:r>
              <w:rPr>
                <w:rFonts w:ascii="Times New Roman" w:hAnsi="Times New Roman" w:cs="Times New Roman"/>
              </w:rPr>
              <w:t xml:space="preserve">Cel 3: Ochrona walorów środowiska i działania </w:t>
            </w:r>
            <w:proofErr w:type="spellStart"/>
            <w:r>
              <w:rPr>
                <w:rFonts w:ascii="Times New Roman" w:hAnsi="Times New Roman" w:cs="Times New Roman"/>
              </w:rPr>
              <w:t>mitygacyjne</w:t>
            </w:r>
            <w:proofErr w:type="spellEnd"/>
            <w:r>
              <w:rPr>
                <w:rFonts w:ascii="Times New Roman" w:hAnsi="Times New Roman" w:cs="Times New Roman"/>
              </w:rPr>
              <w:t xml:space="preserve"> (zapobiegawcze)</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3" w:type="dxa"/>
          </w:tcPr>
          <w:p w:rsidR="00DC75FA" w:rsidRDefault="00887D84">
            <w:pPr>
              <w:pStyle w:val="Akapitzlist"/>
              <w:numPr>
                <w:ilvl w:val="0"/>
                <w:numId w:val="21"/>
              </w:numPr>
              <w:spacing w:after="0" w:line="240" w:lineRule="auto"/>
              <w:rPr>
                <w:rFonts w:ascii="Times New Roman" w:hAnsi="Times New Roman" w:cs="Times New Roman"/>
              </w:rPr>
            </w:pPr>
            <w:r>
              <w:rPr>
                <w:rFonts w:ascii="Times New Roman" w:hAnsi="Times New Roman" w:cs="Times New Roman"/>
              </w:rPr>
              <w:t xml:space="preserve">Dodatkowa zdolność wytwarzania energii odnawialnej (w tym: energii elektrycznej, energii cieplnej) </w:t>
            </w:r>
          </w:p>
          <w:p w:rsidR="00DC75FA" w:rsidRDefault="00887D84">
            <w:pPr>
              <w:pStyle w:val="Akapitzlist"/>
              <w:numPr>
                <w:ilvl w:val="0"/>
                <w:numId w:val="21"/>
              </w:numPr>
              <w:spacing w:after="0" w:line="240" w:lineRule="auto"/>
              <w:rPr>
                <w:rFonts w:ascii="Times New Roman" w:hAnsi="Times New Roman" w:cs="Times New Roman"/>
              </w:rPr>
            </w:pPr>
            <w:r>
              <w:rPr>
                <w:rFonts w:ascii="Times New Roman" w:hAnsi="Times New Roman" w:cs="Times New Roman"/>
              </w:rPr>
              <w:t>Wytworzona energia odnawialna ogółem (w tym: energia elektryczna, energia cieplna</w:t>
            </w:r>
          </w:p>
          <w:p w:rsidR="00DC75FA" w:rsidRDefault="00887D84">
            <w:pPr>
              <w:pStyle w:val="Akapitzlist"/>
              <w:numPr>
                <w:ilvl w:val="0"/>
                <w:numId w:val="21"/>
              </w:numPr>
              <w:spacing w:after="0" w:line="240" w:lineRule="auto"/>
              <w:rPr>
                <w:rFonts w:ascii="Times New Roman" w:hAnsi="Times New Roman" w:cs="Times New Roman"/>
              </w:rPr>
            </w:pPr>
            <w:r>
              <w:rPr>
                <w:rFonts w:ascii="Times New Roman" w:hAnsi="Times New Roman" w:cs="Times New Roman"/>
              </w:rPr>
              <w:t xml:space="preserve">Energia odnawialna: zdolność wytwórcza przyłączona do sieci (operacyjna) </w:t>
            </w:r>
          </w:p>
          <w:p w:rsidR="00DC75FA" w:rsidRDefault="00887D84">
            <w:pPr>
              <w:pStyle w:val="Akapitzlist"/>
              <w:numPr>
                <w:ilvl w:val="0"/>
                <w:numId w:val="21"/>
              </w:numPr>
              <w:spacing w:after="0" w:line="240" w:lineRule="auto"/>
              <w:rPr>
                <w:rFonts w:ascii="Times New Roman" w:hAnsi="Times New Roman" w:cs="Times New Roman"/>
              </w:rPr>
            </w:pPr>
            <w:r>
              <w:rPr>
                <w:rFonts w:ascii="Times New Roman" w:hAnsi="Times New Roman" w:cs="Times New Roman"/>
              </w:rPr>
              <w:t>liczba punktów PSZOK</w:t>
            </w:r>
          </w:p>
          <w:p w:rsidR="00DC75FA" w:rsidRDefault="00887D84">
            <w:pPr>
              <w:pStyle w:val="Akapitzlist"/>
              <w:numPr>
                <w:ilvl w:val="0"/>
                <w:numId w:val="21"/>
              </w:numPr>
              <w:spacing w:after="0" w:line="240" w:lineRule="auto"/>
              <w:rPr>
                <w:rFonts w:ascii="Times New Roman" w:hAnsi="Times New Roman" w:cs="Times New Roman"/>
              </w:rPr>
            </w:pPr>
            <w:r>
              <w:rPr>
                <w:rFonts w:ascii="Times New Roman" w:hAnsi="Times New Roman" w:cs="Times New Roman"/>
              </w:rPr>
              <w:t>liczba nowych biogazowni</w:t>
            </w:r>
          </w:p>
          <w:p w:rsidR="00DC75FA" w:rsidRDefault="00DC75FA">
            <w:pPr>
              <w:spacing w:after="0" w:line="240" w:lineRule="auto"/>
              <w:rPr>
                <w:rFonts w:ascii="Times New Roman" w:hAnsi="Times New Roman" w:cs="Times New Roman"/>
              </w:rPr>
            </w:pPr>
          </w:p>
        </w:tc>
      </w:tr>
    </w:tbl>
    <w:p w:rsidR="00DC75FA" w:rsidRDefault="00887D84">
      <w:pPr>
        <w:pStyle w:val="Legenda"/>
      </w:pPr>
      <w:r>
        <w:t>Źródło: Opracowanie własne</w:t>
      </w: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887D84">
      <w:pPr>
        <w:rPr>
          <w:rFonts w:ascii="Times New Roman" w:hAnsi="Times New Roman" w:cs="Times New Roman"/>
        </w:rPr>
      </w:pPr>
      <w:r>
        <w:br w:type="page"/>
      </w:r>
    </w:p>
    <w:p w:rsidR="00DC75FA" w:rsidRDefault="00887D84">
      <w:pPr>
        <w:pStyle w:val="Nagwek1"/>
        <w:numPr>
          <w:ilvl w:val="0"/>
          <w:numId w:val="7"/>
        </w:numPr>
        <w:rPr>
          <w:rFonts w:ascii="Times New Roman" w:hAnsi="Times New Roman" w:cs="Times New Roman"/>
        </w:rPr>
      </w:pPr>
      <w:bookmarkStart w:id="40" w:name="_Toc105754702"/>
      <w:r>
        <w:rPr>
          <w:rFonts w:ascii="Times New Roman" w:hAnsi="Times New Roman" w:cs="Times New Roman"/>
        </w:rPr>
        <w:lastRenderedPageBreak/>
        <w:t>Ramy finansowe i źródła finansowania</w:t>
      </w:r>
      <w:bookmarkEnd w:id="40"/>
      <w:r>
        <w:rPr>
          <w:rFonts w:ascii="Times New Roman" w:hAnsi="Times New Roman" w:cs="Times New Roman"/>
        </w:rPr>
        <w:t xml:space="preserve"> </w:t>
      </w:r>
    </w:p>
    <w:p w:rsidR="00DC75FA" w:rsidRDefault="00DC75FA">
      <w:pPr>
        <w:pStyle w:val="Akapitzlist"/>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Sukces wdrażania strategii (osiągnięcie zakładanych celów) zależny będzie od zapewnienia odpowiednich źródeł finansowania planowanych zadań. Jednoznaczne określenie tych źródeł, w kontekście zapewnienia spójności i efektywności realizowanych przedsięwzięć, jest zadaniem złożonym, ponieważ system finansowania zadań publicznych charakteryzuje się </w:t>
      </w:r>
      <w:proofErr w:type="spellStart"/>
      <w:r>
        <w:rPr>
          <w:rFonts w:ascii="Times New Roman" w:hAnsi="Times New Roman" w:cs="Times New Roman"/>
        </w:rPr>
        <w:t>wielopoziomowością</w:t>
      </w:r>
      <w:proofErr w:type="spellEnd"/>
      <w:r>
        <w:rPr>
          <w:rFonts w:ascii="Times New Roman" w:hAnsi="Times New Roman" w:cs="Times New Roman"/>
        </w:rPr>
        <w:t xml:space="preserve"> i hierarchicznością (poziom regionalny, krajowy i europejski), a za jego rozwój i właściwą organizację odpowiedzialnych jest wiele różnych podmiotów z różnych szczebli zarządzania.</w:t>
      </w:r>
    </w:p>
    <w:p w:rsidR="00DC75FA" w:rsidRDefault="00DC75FA">
      <w:pPr>
        <w:pStyle w:val="Bezodstpw"/>
        <w:spacing w:line="276" w:lineRule="auto"/>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Dodatkowo, należy wziąć pod uwagę różne formy finansowania przedsięwzięć (zarówno dotację jak też instrumenty finansowe) oraz dodatkowe możliwości jakie daje realizacja projektów w formule partnerstwa </w:t>
      </w:r>
      <w:proofErr w:type="spellStart"/>
      <w:r>
        <w:rPr>
          <w:rFonts w:ascii="Times New Roman" w:hAnsi="Times New Roman" w:cs="Times New Roman"/>
        </w:rPr>
        <w:t>publiczno</w:t>
      </w:r>
      <w:proofErr w:type="spellEnd"/>
      <w:r>
        <w:rPr>
          <w:rFonts w:ascii="Times New Roman" w:hAnsi="Times New Roman" w:cs="Times New Roman"/>
        </w:rPr>
        <w:t xml:space="preserve"> - prywatnego. W tym kontekście na szczególną uwagę zasługuje mechanizm Porozumień Terytorialnych określony w ustawie o zasadach prowadzenia polityki rozwoju. Identyfikacja i wybór potencjalnych źródeł, z których mogą być finansowane poszczególne przedsięwzięcia w ramach strategii wymaga właściwej organizacji i koordynacji procesu pozyskiwania tych środków – zarówno na poziomie każdej z gmin jak też na poziomie struktur współpracy partnerskiej (Rada Strategiczna).</w:t>
      </w:r>
    </w:p>
    <w:p w:rsidR="00DC75FA" w:rsidRDefault="00DC75FA">
      <w:pPr>
        <w:pStyle w:val="Bezodstpw"/>
        <w:spacing w:line="276" w:lineRule="auto"/>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Proces ten powinien przede wszystkim uwzględniać różnorodności opcji finansowania projektów wynikających ze Strategii (źródła i formy). Kluczową kwestią jest tu odejście od typowego systemu grantowego, wypracowanie wspólnych zasad korzystania z funduszy zwrotnych, a także sięganie po fundusze bezpośrednio zarządzane przez Komisję Europejską. Ideą takiego podejścia jest dywersyfikacja, a także ciągłość działań (szczególnie w przypadku projektowania finansowania przedsięwzięć środkami zwrotnymi), która pozwoli na wypracowanie długoterminowego planu finansowego, a także wdrażanie inwestycji bardziej ryzykownych, często o charakterze innowacyjnym i eksperymentalnym.</w:t>
      </w:r>
    </w:p>
    <w:p w:rsidR="00DC75FA" w:rsidRDefault="00DC75FA">
      <w:pPr>
        <w:pStyle w:val="Bezodstpw"/>
        <w:spacing w:line="276" w:lineRule="auto"/>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Działania przewidziane do realizacji w strategii mają szeroki zakres i w związku z tym koniecznym będzie poszukiwanie różnych źródeł ich finansowania, uwzględniających środki w ramach Polityki Spójności, Wspólnej Polityki Rolnej i innych. Istotne znaczenie przypisać należy innym źródłom z uwzględnieniem krajowych środków publicznych, czy też środków prywatnych. Pamiętać też należy, że oprócz dotacji, subwencji i innych form finansowania bezzwrotnego, istotnym elementem finansowania będą instrumenty zwrotne.</w:t>
      </w:r>
    </w:p>
    <w:p w:rsidR="00DC75FA" w:rsidRDefault="00DC75FA">
      <w:pPr>
        <w:pStyle w:val="Bezodstpw"/>
        <w:spacing w:line="276" w:lineRule="auto"/>
        <w:jc w:val="both"/>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Dlatego też podejmując decyzje o realizacji projektów (szczególnie w zakresie przedsięwzięć partnerskich) należy każdorazowo rozpatrywać możliwości budżetowe JST w kontekście istniejących źródeł i form finansowania w oparciu o poniższe zasady:</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Dywersyfikacja źródeł finansowania jako główna zasada wdrażania strategii</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Korzystanie z różnych form finansowania – dotacje oraz instrumenty finansowe (pożyczki, poręczenia, gwarancje itp.)</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Korzystanie ze środków europejskich na różnych poziomach (program regionalny, programy krajowe, programy współpracy międzynarodowej</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Korzystanie z funduszy bezpośrednio zarządzanych przez Komisję Europejską (np. programy LIFE, Horyzont, COSME, itp.)</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 Uczestnictwo w międzynarodowych projektach sieciowych (np. programy </w:t>
      </w:r>
      <w:proofErr w:type="spellStart"/>
      <w:r>
        <w:rPr>
          <w:rFonts w:ascii="Times New Roman" w:hAnsi="Times New Roman" w:cs="Times New Roman"/>
        </w:rPr>
        <w:t>Interreg</w:t>
      </w:r>
      <w:proofErr w:type="spellEnd"/>
      <w:r>
        <w:rPr>
          <w:rFonts w:ascii="Times New Roman" w:hAnsi="Times New Roman" w:cs="Times New Roman"/>
        </w:rPr>
        <w:t>, Central Europe)</w:t>
      </w:r>
    </w:p>
    <w:p w:rsidR="00DC75FA" w:rsidRDefault="00887D84">
      <w:pPr>
        <w:pStyle w:val="Bezodstpw"/>
        <w:spacing w:line="276" w:lineRule="auto"/>
        <w:jc w:val="both"/>
        <w:rPr>
          <w:rStyle w:val="fontstyle21"/>
          <w:rFonts w:ascii="Times New Roman" w:hAnsi="Times New Roman" w:cs="Times New Roman"/>
          <w:color w:val="auto"/>
        </w:rPr>
      </w:pPr>
      <w:r>
        <w:rPr>
          <w:rStyle w:val="fontstyle01"/>
          <w:rFonts w:ascii="Times New Roman" w:hAnsi="Times New Roman" w:cs="Times New Roman"/>
        </w:rPr>
        <w:t xml:space="preserve">▪ </w:t>
      </w:r>
      <w:r>
        <w:rPr>
          <w:rStyle w:val="fontstyle21"/>
          <w:rFonts w:ascii="Times New Roman" w:hAnsi="Times New Roman" w:cs="Times New Roman"/>
          <w:color w:val="auto"/>
        </w:rPr>
        <w:t>Współpraca z instytucjami międzynarodowymi (np. Europejski Bank Inwestycyjny, Bank Światowy,</w:t>
      </w:r>
      <w:r>
        <w:rPr>
          <w:rFonts w:ascii="Times New Roman" w:hAnsi="Times New Roman" w:cs="Times New Roman"/>
        </w:rPr>
        <w:br/>
      </w:r>
      <w:r>
        <w:rPr>
          <w:rStyle w:val="fontstyle21"/>
          <w:rFonts w:ascii="Times New Roman" w:hAnsi="Times New Roman" w:cs="Times New Roman"/>
          <w:color w:val="auto"/>
        </w:rPr>
        <w:t>instrument ELENA, itp.)</w:t>
      </w:r>
    </w:p>
    <w:p w:rsidR="00DC75FA" w:rsidRDefault="00887D84">
      <w:pPr>
        <w:pStyle w:val="Bezodstpw"/>
        <w:spacing w:line="276" w:lineRule="auto"/>
        <w:jc w:val="both"/>
        <w:rPr>
          <w:rStyle w:val="fontstyle21"/>
          <w:rFonts w:ascii="Times New Roman" w:hAnsi="Times New Roman" w:cs="Times New Roman"/>
          <w:color w:val="auto"/>
        </w:rPr>
      </w:pPr>
      <w:r>
        <w:rPr>
          <w:rFonts w:ascii="Times New Roman" w:hAnsi="Times New Roman" w:cs="Times New Roman"/>
        </w:rPr>
        <w:lastRenderedPageBreak/>
        <w:br/>
      </w:r>
      <w:r>
        <w:rPr>
          <w:rStyle w:val="fontstyle21"/>
          <w:rFonts w:ascii="Times New Roman" w:hAnsi="Times New Roman" w:cs="Times New Roman"/>
          <w:color w:val="auto"/>
        </w:rPr>
        <w:t>Osiągnięcie celów zawartych w Strategii wymaga zaangażowania różnych instytucji, podmiotów i zaplanowania wydatkowania znacznych środków finansowych w perspektywie wieloletniej. Biorąc pod uwagę uwarunkowania ekonomiczne gmin partnerskich do najważniejszych źródeł pochodzenia kapitału na finansowanie zadań Strategii należeć będą:</w:t>
      </w:r>
    </w:p>
    <w:p w:rsidR="00DC75FA" w:rsidRDefault="00887D84">
      <w:pPr>
        <w:pStyle w:val="Bezodstpw"/>
        <w:spacing w:line="276" w:lineRule="auto"/>
        <w:jc w:val="both"/>
        <w:rPr>
          <w:rStyle w:val="fontstyle31"/>
          <w:rFonts w:ascii="Times New Roman" w:hAnsi="Times New Roman" w:cs="Times New Roman"/>
        </w:rPr>
      </w:pPr>
      <w:r>
        <w:rPr>
          <w:rFonts w:ascii="Times New Roman" w:hAnsi="Times New Roman" w:cs="Times New Roman"/>
          <w:color w:val="000000"/>
        </w:rPr>
        <w:br/>
      </w:r>
      <w:r>
        <w:rPr>
          <w:rStyle w:val="fontstyle31"/>
          <w:rFonts w:ascii="Times New Roman" w:hAnsi="Times New Roman" w:cs="Times New Roman"/>
        </w:rPr>
        <w:t>Środki własne JST</w:t>
      </w:r>
    </w:p>
    <w:p w:rsidR="00DC75FA" w:rsidRDefault="00887D84">
      <w:pPr>
        <w:pStyle w:val="Bezodstpw"/>
        <w:spacing w:line="276" w:lineRule="auto"/>
        <w:jc w:val="both"/>
        <w:rPr>
          <w:rStyle w:val="fontstyle21"/>
          <w:rFonts w:ascii="Times New Roman" w:hAnsi="Times New Roman" w:cs="Times New Roman"/>
        </w:rPr>
      </w:pPr>
      <w:r>
        <w:rPr>
          <w:rFonts w:ascii="Times New Roman" w:hAnsi="Times New Roman" w:cs="Times New Roman"/>
          <w:b/>
          <w:bCs/>
          <w:color w:val="000000"/>
        </w:rPr>
        <w:br/>
      </w:r>
      <w:r>
        <w:rPr>
          <w:rStyle w:val="fontstyle21"/>
          <w:rFonts w:ascii="Times New Roman" w:hAnsi="Times New Roman" w:cs="Times New Roman"/>
        </w:rPr>
        <w:t>Za kluczowe źródło finansowana inwestycji zawartych w Strategii uznać należy budżety jednostek</w:t>
      </w:r>
      <w:r>
        <w:rPr>
          <w:rFonts w:ascii="Times New Roman" w:hAnsi="Times New Roman" w:cs="Times New Roman"/>
          <w:color w:val="000000"/>
        </w:rPr>
        <w:br/>
      </w:r>
      <w:r>
        <w:rPr>
          <w:rStyle w:val="fontstyle21"/>
          <w:rFonts w:ascii="Times New Roman" w:hAnsi="Times New Roman" w:cs="Times New Roman"/>
        </w:rPr>
        <w:t>samorządu terytorialnego gmin partnerskich: Gminy Puchaczów, Gminy Cyców, Gminy Ludwin, Gminy Urszulin i Gminy Milejów.</w:t>
      </w:r>
    </w:p>
    <w:p w:rsidR="00DC75FA" w:rsidRDefault="00887D84">
      <w:pPr>
        <w:pStyle w:val="Bezodstpw"/>
        <w:spacing w:line="276" w:lineRule="auto"/>
        <w:jc w:val="both"/>
        <w:rPr>
          <w:rStyle w:val="fontstyle21"/>
          <w:rFonts w:ascii="Times New Roman" w:hAnsi="Times New Roman" w:cs="Times New Roman"/>
        </w:rPr>
      </w:pPr>
      <w:r>
        <w:rPr>
          <w:rStyle w:val="fontstyle21"/>
          <w:rFonts w:ascii="Times New Roman" w:hAnsi="Times New Roman" w:cs="Times New Roman"/>
        </w:rPr>
        <w:t>Środki własne JST przewidziane są przede wszystkim jako wkład własny - w przypadku realizacji projektów współfinansowanych ze środków unijnych należy przyjąć, że wkład własny będzie wynosił co najmniej 30% kosztów inwestycji (w tym prawdopodobnie niekwalifikowany w całości lub częściowo podatek VAT), co stanowi znaczący wzrost w porównaniu z poprzednią perspektywą finansową. Zgodnie z zasadą racjonalizacji wydatków publicznych istotnym jest przewidzenie mechanizmów koordynacyjnych w zakresie współpracy między gminami.</w:t>
      </w:r>
    </w:p>
    <w:p w:rsidR="00DC75FA" w:rsidRDefault="00DC75FA">
      <w:pPr>
        <w:pStyle w:val="Bezodstpw"/>
        <w:spacing w:line="276" w:lineRule="auto"/>
        <w:rPr>
          <w:rFonts w:ascii="Times New Roman" w:hAnsi="Times New Roman" w:cs="Times New Roman"/>
        </w:rPr>
      </w:pPr>
    </w:p>
    <w:p w:rsidR="00DC75FA" w:rsidRDefault="00887D84">
      <w:pPr>
        <w:pStyle w:val="Bezodstpw"/>
        <w:spacing w:line="276" w:lineRule="auto"/>
        <w:jc w:val="both"/>
        <w:rPr>
          <w:rStyle w:val="fontstyle31"/>
          <w:rFonts w:ascii="Times New Roman" w:hAnsi="Times New Roman" w:cs="Times New Roman"/>
        </w:rPr>
      </w:pPr>
      <w:r>
        <w:rPr>
          <w:rStyle w:val="fontstyle31"/>
          <w:rFonts w:ascii="Times New Roman" w:hAnsi="Times New Roman" w:cs="Times New Roman"/>
        </w:rPr>
        <w:t>Środki pochodzące z budżetu Unii Europejskiej</w:t>
      </w:r>
    </w:p>
    <w:p w:rsidR="00DC75FA" w:rsidRDefault="00DC75FA">
      <w:pPr>
        <w:pStyle w:val="Bezodstpw"/>
        <w:spacing w:line="276" w:lineRule="auto"/>
        <w:jc w:val="both"/>
        <w:rPr>
          <w:rStyle w:val="fontstyle31"/>
          <w:rFonts w:ascii="Times New Roman" w:hAnsi="Times New Roman" w:cs="Times New Roman"/>
        </w:rPr>
      </w:pPr>
    </w:p>
    <w:p w:rsidR="00DC75FA" w:rsidRDefault="00887D84">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W perspektywie finansowej dostępnej od 2021 roku założono realizację 4 Programów Operacyjnych dostępnych dla beneficjentów z całego kraju, w tym jeden dla beneficjentów z Polski Wschodniej. Są to następujące programy:</w:t>
      </w:r>
    </w:p>
    <w:p w:rsidR="00DC75FA" w:rsidRDefault="00887D84">
      <w:pPr>
        <w:pStyle w:val="Bezodstpw"/>
        <w:numPr>
          <w:ilvl w:val="0"/>
          <w:numId w:val="14"/>
        </w:numPr>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Fundusze Europejskie na Infrastrukturę, Klimat, Środowisko [</w:t>
      </w:r>
      <w:proofErr w:type="spellStart"/>
      <w:r>
        <w:rPr>
          <w:rStyle w:val="fontstyle21"/>
          <w:rFonts w:ascii="Times New Roman" w:hAnsi="Times New Roman" w:cs="Times New Roman"/>
          <w:color w:val="auto"/>
        </w:rPr>
        <w:t>FEnIKS</w:t>
      </w:r>
      <w:proofErr w:type="spellEnd"/>
      <w:r>
        <w:rPr>
          <w:rStyle w:val="fontstyle21"/>
          <w:rFonts w:ascii="Times New Roman" w:hAnsi="Times New Roman" w:cs="Times New Roman"/>
          <w:color w:val="auto"/>
        </w:rPr>
        <w:t>] (dawniej Program Operacyjny Infrastruktura i Środowisko na lata 2014-2020)</w:t>
      </w:r>
    </w:p>
    <w:p w:rsidR="00DC75FA" w:rsidRDefault="00887D84">
      <w:pPr>
        <w:pStyle w:val="Bezodstpw"/>
        <w:numPr>
          <w:ilvl w:val="0"/>
          <w:numId w:val="14"/>
        </w:numPr>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Fundusze Europejskie na Rozwój Cyfrowy [FERC] (dawniej Program Operacyjny Polska Cyfrowa 2014-2020)</w:t>
      </w:r>
    </w:p>
    <w:p w:rsidR="00DC75FA" w:rsidRDefault="00887D84">
      <w:pPr>
        <w:pStyle w:val="Bezodstpw"/>
        <w:numPr>
          <w:ilvl w:val="0"/>
          <w:numId w:val="14"/>
        </w:numPr>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 xml:space="preserve">Fundusze Europejskie dla Nowoczesnej Gospodarki [FENG] (dawniej Program Operacyjny Inteligentny Rozwój 2014-2020) </w:t>
      </w:r>
    </w:p>
    <w:p w:rsidR="00DC75FA" w:rsidRDefault="00887D84">
      <w:pPr>
        <w:pStyle w:val="Bezodstpw"/>
        <w:numPr>
          <w:ilvl w:val="0"/>
          <w:numId w:val="14"/>
        </w:numPr>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Fundusze Europejskie dla Rozwoju Społecznego [FERS] (dawniej Program Operacyjny Wiedza Edukacja Rozwój 2014-2020)</w:t>
      </w:r>
    </w:p>
    <w:p w:rsidR="00DC75FA" w:rsidRDefault="00887D84">
      <w:pPr>
        <w:pStyle w:val="Bezodstpw"/>
        <w:numPr>
          <w:ilvl w:val="0"/>
          <w:numId w:val="14"/>
        </w:numPr>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Fundusze Europejskie dla Polski Wschodniej [FEPW] (dawniej Program Operacyjny Polska Wschodnia 2014-2020).</w:t>
      </w:r>
    </w:p>
    <w:p w:rsidR="00DC75FA" w:rsidRDefault="00DC75FA">
      <w:pPr>
        <w:pStyle w:val="Bezodstpw"/>
        <w:spacing w:line="276" w:lineRule="auto"/>
        <w:jc w:val="both"/>
        <w:rPr>
          <w:rStyle w:val="fontstyle21"/>
          <w:rFonts w:ascii="Times New Roman" w:hAnsi="Times New Roman" w:cs="Times New Roman"/>
          <w:color w:val="auto"/>
        </w:rPr>
      </w:pPr>
    </w:p>
    <w:p w:rsidR="00DC75FA" w:rsidRDefault="00887D84">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Dodatkowo w związku z przeciwdziałaniem skutkom pandemii COVID-19 do roku 2026 dostępne są środki w ramach Krajowego Programu Odbudowy i Zwiększania Odporności [KPO], a w związku z unijną polityką klimatyczną i strategiczną wizją gospodarki niskoemisyjnej dla wybranych regionów, dostępne będą również dodatkowe środki w ramach Funduszu na rzecz Sprawiedliwej Transformacji.</w:t>
      </w:r>
    </w:p>
    <w:p w:rsidR="00DC75FA" w:rsidRDefault="00DC75FA">
      <w:pPr>
        <w:pStyle w:val="Bezodstpw"/>
        <w:spacing w:line="276" w:lineRule="auto"/>
        <w:jc w:val="both"/>
        <w:rPr>
          <w:rStyle w:val="fontstyle21"/>
          <w:rFonts w:ascii="Times New Roman" w:hAnsi="Times New Roman" w:cs="Times New Roman"/>
          <w:color w:val="auto"/>
        </w:rPr>
      </w:pPr>
    </w:p>
    <w:p w:rsidR="00DC75FA" w:rsidRDefault="00887D84">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Na następnej stronie przedstawiono tabelę z potencjalnymi źródłami finansowania projektów i przedsięwzięć przewidzianych w Strategii. Tabela nie uwzględnia typów projektów zarezerwowanych dla administracji rządowej, służb rynku pracy oraz miast.</w:t>
      </w:r>
    </w:p>
    <w:p w:rsidR="00DC75FA" w:rsidRDefault="00DC75FA">
      <w:pPr>
        <w:pStyle w:val="Bezodstpw"/>
        <w:spacing w:line="276" w:lineRule="auto"/>
        <w:jc w:val="both"/>
        <w:rPr>
          <w:rStyle w:val="fontstyle21"/>
          <w:rFonts w:ascii="Times New Roman" w:hAnsi="Times New Roman" w:cs="Times New Roman"/>
          <w:color w:val="auto"/>
        </w:rPr>
      </w:pPr>
    </w:p>
    <w:p w:rsidR="00DC75FA" w:rsidRDefault="00DC75FA">
      <w:pPr>
        <w:pStyle w:val="Bezodstpw"/>
        <w:spacing w:line="276" w:lineRule="auto"/>
        <w:jc w:val="both"/>
        <w:rPr>
          <w:rStyle w:val="fontstyle21"/>
          <w:rFonts w:ascii="Times New Roman" w:hAnsi="Times New Roman" w:cs="Times New Roman"/>
          <w:color w:val="auto"/>
        </w:rPr>
      </w:pPr>
    </w:p>
    <w:p w:rsidR="00DC75FA" w:rsidRDefault="00DC75FA">
      <w:pPr>
        <w:pStyle w:val="Bezodstpw"/>
        <w:spacing w:line="276" w:lineRule="auto"/>
        <w:jc w:val="both"/>
        <w:rPr>
          <w:rStyle w:val="fontstyle21"/>
          <w:rFonts w:ascii="Times New Roman" w:hAnsi="Times New Roman" w:cs="Times New Roman"/>
          <w:color w:val="auto"/>
        </w:rPr>
      </w:pPr>
    </w:p>
    <w:p w:rsidR="00DC75FA" w:rsidRDefault="00DC75FA">
      <w:pPr>
        <w:pStyle w:val="Bezodstpw"/>
        <w:spacing w:line="276" w:lineRule="auto"/>
        <w:jc w:val="both"/>
        <w:rPr>
          <w:rStyle w:val="fontstyle21"/>
          <w:rFonts w:ascii="Times New Roman" w:hAnsi="Times New Roman" w:cs="Times New Roman"/>
          <w:color w:val="auto"/>
        </w:rPr>
      </w:pPr>
    </w:p>
    <w:p w:rsidR="00DC75FA" w:rsidRDefault="00DC75FA">
      <w:pPr>
        <w:pStyle w:val="Bezodstpw"/>
        <w:spacing w:line="276" w:lineRule="auto"/>
        <w:jc w:val="both"/>
        <w:rPr>
          <w:rStyle w:val="fontstyle21"/>
          <w:rFonts w:ascii="Times New Roman" w:hAnsi="Times New Roman" w:cs="Times New Roman"/>
          <w:color w:val="auto"/>
        </w:rPr>
      </w:pPr>
    </w:p>
    <w:p w:rsidR="00DC75FA" w:rsidRDefault="00DC75FA">
      <w:pPr>
        <w:pStyle w:val="Bezodstpw"/>
        <w:spacing w:line="276" w:lineRule="auto"/>
        <w:jc w:val="both"/>
        <w:rPr>
          <w:rStyle w:val="fontstyle21"/>
          <w:rFonts w:ascii="Times New Roman" w:hAnsi="Times New Roman" w:cs="Times New Roman"/>
          <w:color w:val="auto"/>
        </w:rPr>
      </w:pPr>
    </w:p>
    <w:p w:rsidR="00DC75FA" w:rsidRDefault="00DC75FA">
      <w:pPr>
        <w:pStyle w:val="Bezodstpw"/>
        <w:spacing w:line="276" w:lineRule="auto"/>
        <w:jc w:val="both"/>
        <w:rPr>
          <w:rStyle w:val="fontstyle21"/>
          <w:rFonts w:ascii="Times New Roman" w:hAnsi="Times New Roman" w:cs="Times New Roman"/>
          <w:color w:val="auto"/>
        </w:rPr>
      </w:pPr>
    </w:p>
    <w:p w:rsidR="00DC75FA" w:rsidRDefault="00887D84">
      <w:pPr>
        <w:pStyle w:val="Legenda"/>
        <w:jc w:val="both"/>
        <w:rPr>
          <w:rFonts w:ascii="Times New Roman" w:hAnsi="Times New Roman" w:cs="Times New Roman"/>
        </w:rPr>
      </w:pPr>
      <w:bookmarkStart w:id="41" w:name="_Toc75897200"/>
      <w:r>
        <w:rPr>
          <w:rFonts w:ascii="Times New Roman" w:hAnsi="Times New Roman" w:cs="Times New Roman"/>
        </w:rPr>
        <w:t xml:space="preserve">Tabela </w:t>
      </w:r>
      <w:r>
        <w:rPr>
          <w:rFonts w:ascii="Times New Roman" w:hAnsi="Times New Roman" w:cs="Times New Roman"/>
        </w:rPr>
        <w:fldChar w:fldCharType="begin"/>
      </w:r>
      <w:r>
        <w:rPr>
          <w:rFonts w:ascii="Times New Roman" w:hAnsi="Times New Roman" w:cs="Times New Roman"/>
        </w:rPr>
        <w:instrText>SEQ Tabela \* ARABIC</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Źródła finansowania przedsięwzięć na podstawie projektów programów operacyjnych w perspektywie finansowej 2021-2027</w:t>
      </w:r>
      <w:bookmarkEnd w:id="41"/>
    </w:p>
    <w:tbl>
      <w:tblPr>
        <w:tblW w:w="9595" w:type="dxa"/>
        <w:tblCellMar>
          <w:left w:w="70" w:type="dxa"/>
          <w:right w:w="70" w:type="dxa"/>
        </w:tblCellMar>
        <w:tblLook w:val="04A0" w:firstRow="1" w:lastRow="0" w:firstColumn="1" w:lastColumn="0" w:noHBand="0" w:noVBand="1"/>
      </w:tblPr>
      <w:tblGrid>
        <w:gridCol w:w="2069"/>
        <w:gridCol w:w="860"/>
        <w:gridCol w:w="1011"/>
        <w:gridCol w:w="1402"/>
        <w:gridCol w:w="1198"/>
        <w:gridCol w:w="967"/>
        <w:gridCol w:w="1331"/>
        <w:gridCol w:w="1167"/>
        <w:gridCol w:w="1145"/>
      </w:tblGrid>
      <w:tr w:rsidR="00DC75FA">
        <w:trPr>
          <w:trHeight w:val="120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DC75FA">
            <w:pPr>
              <w:spacing w:after="0" w:line="240" w:lineRule="auto"/>
              <w:rPr>
                <w:rFonts w:ascii="Times New Roman" w:eastAsia="Times New Roman" w:hAnsi="Times New Roman" w:cs="Times New Roman"/>
                <w:sz w:val="16"/>
                <w:szCs w:val="16"/>
                <w:lang w:eastAsia="pl-PL"/>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proofErr w:type="spellStart"/>
            <w:r>
              <w:rPr>
                <w:rFonts w:ascii="Times New Roman" w:eastAsia="Times New Roman" w:hAnsi="Times New Roman" w:cs="Times New Roman"/>
                <w:color w:val="000000"/>
                <w:sz w:val="16"/>
                <w:szCs w:val="16"/>
                <w:lang w:eastAsia="pl-PL"/>
              </w:rPr>
              <w:t>KPOiZO</w:t>
            </w:r>
            <w:proofErr w:type="spellEnd"/>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proofErr w:type="spellStart"/>
            <w:r>
              <w:rPr>
                <w:rFonts w:ascii="Times New Roman" w:eastAsia="Times New Roman" w:hAnsi="Times New Roman" w:cs="Times New Roman"/>
                <w:color w:val="000000"/>
                <w:sz w:val="16"/>
                <w:szCs w:val="16"/>
                <w:lang w:eastAsia="pl-PL"/>
              </w:rPr>
              <w:t>FEnIKS</w:t>
            </w:r>
            <w:proofErr w:type="spellEnd"/>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FERC</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FENG</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FERS</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FEPW</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xml:space="preserve">Terytorialny Plan Sprawiedliwej Transformacji dla Województwa Lubelskiego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RPO WL</w:t>
            </w:r>
          </w:p>
        </w:tc>
      </w:tr>
      <w:tr w:rsidR="00DC75FA">
        <w:trPr>
          <w:trHeight w:val="120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projekty w przedsiębiorstwach</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granty A1.2.1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1 Wsparcie dla przedsiębiorców (koniecznie z modułem B+R)</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xml:space="preserve">Priorytet 1. Przedsiębiorczość i innowacje </w:t>
            </w: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Gospodarka</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 Badania naukowe i innowacje</w:t>
            </w:r>
          </w:p>
        </w:tc>
      </w:tr>
      <w:tr w:rsidR="00DC75FA">
        <w:trPr>
          <w:trHeight w:val="96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projekty instytucji w obszarach wsparcia biznesu</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2. Środowisko sprzyjające innowacjom (głównie projekty realizowane przez IOB)</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Gospodarka</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 Badania naukowe i innowacje</w:t>
            </w:r>
          </w:p>
        </w:tc>
      </w:tr>
      <w:tr w:rsidR="00DC75FA">
        <w:trPr>
          <w:trHeight w:val="96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instrumenty zwrotne dla osób zamierzających rozpocząć działalność gospodarczą, w tym łączenie ze wsparciem bezzwrotnym</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1, cel szczegółowy a)</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96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opracowanie i pilotaż koncepcji indywidualnych bonów na kształcenie ustawiczne w branżach kluczowych dla gospodarki</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1, cel szczegółowy b)</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szkolenia i doradztwo dla pracowników przedsiębiorstw i pracodawców</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1, cel szczegółowy d)</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tereny inwestycyjne o kluczowym znaczeniu dla gospodarki</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xml:space="preserve"> granty A1.2.2</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Gospodarka</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inkubacja MŚP i promocja gospodarcza</w:t>
            </w:r>
          </w:p>
        </w:tc>
        <w:tc>
          <w:tcPr>
            <w:tcW w:w="86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II Transformacja gospodarcza i cyfrowa regionu</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dywersyfikacja i skracanie łańcucha dostaw produktów rolnych i spożywczych</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granty A1.4.1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144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rozbudowa i wyposażenie centrów kompetencji (specjalistyczne ośrodki szkoleniowe, wsparcia wdrożeń, centra monitorowania) oraz infrastruktura do zarządzania ruchem bezzałogowych statków powietrznych</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granty A2.3.1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inwestycje w rozbudowę potencjału badawczego</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granty A2.4.1.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efektywność energetyczna budynków (mieszkalnych, użyteczności publicznych, przemysłowych)</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cel szczegółowy: 2.1</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IV Efektywne wykorzystanie energii</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oszczędność energii w przedsiębiorstwach</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pożyczki komponent B</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IV Efektywne wykorzystanie energii</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lastRenderedPageBreak/>
              <w:t>instalacje w OZE (w tym przebudowa sieci, magazyny energii, edukacja - jedynie jako elementy projektu)</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cel szczegółowy: 2.2</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Energetyka i ciepłownictwo</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IV Efektywne wykorzystanie energii</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wsparcie inwestycji w magazyny energii;</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pożyczki komponent B</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sieci gazowe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cel szczegółowy 2.3</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sieci energetyczne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cel szczegółowy 2.3</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2. Energia i klimat (pozakonkursowe)</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budowa lub modernizacja sieci ciepłowniczych i chłodniczych (wysokosprawna kogeneracja)</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cel szczegółowy: 2.1</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IV Efektywne wykorzystanie energii</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xml:space="preserve">budowa instalacji do produkcji biopaliw, </w:t>
            </w:r>
            <w:proofErr w:type="spellStart"/>
            <w:r>
              <w:rPr>
                <w:rFonts w:ascii="Times New Roman" w:eastAsia="Times New Roman" w:hAnsi="Times New Roman" w:cs="Times New Roman"/>
                <w:color w:val="000000"/>
                <w:sz w:val="16"/>
                <w:szCs w:val="16"/>
                <w:lang w:eastAsia="pl-PL"/>
              </w:rPr>
              <w:t>biopłynów</w:t>
            </w:r>
            <w:proofErr w:type="spellEnd"/>
            <w:r>
              <w:rPr>
                <w:rFonts w:ascii="Times New Roman" w:eastAsia="Times New Roman" w:hAnsi="Times New Roman" w:cs="Times New Roman"/>
                <w:color w:val="000000"/>
                <w:sz w:val="16"/>
                <w:szCs w:val="16"/>
                <w:lang w:eastAsia="pl-PL"/>
              </w:rPr>
              <w:t xml:space="preserve"> i </w:t>
            </w:r>
            <w:proofErr w:type="spellStart"/>
            <w:r>
              <w:rPr>
                <w:rFonts w:ascii="Times New Roman" w:eastAsia="Times New Roman" w:hAnsi="Times New Roman" w:cs="Times New Roman"/>
                <w:color w:val="000000"/>
                <w:sz w:val="16"/>
                <w:szCs w:val="16"/>
                <w:lang w:eastAsia="pl-PL"/>
              </w:rPr>
              <w:t>biometanu</w:t>
            </w:r>
            <w:proofErr w:type="spellEnd"/>
            <w:r>
              <w:rPr>
                <w:rFonts w:ascii="Times New Roman" w:eastAsia="Times New Roman" w:hAnsi="Times New Roman" w:cs="Times New Roman"/>
                <w:color w:val="000000"/>
                <w:sz w:val="16"/>
                <w:szCs w:val="16"/>
                <w:lang w:eastAsia="pl-PL"/>
              </w:rPr>
              <w:t>,</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IV Efektywne wykorzystanie energii</w:t>
            </w:r>
          </w:p>
        </w:tc>
      </w:tr>
      <w:tr w:rsidR="00DC75FA">
        <w:trPr>
          <w:trHeight w:val="240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wsparcie na budowę i modernizację infrastruktury niezbędnej do ujęcia, uzdatniania, magazynowania i dystrybucji wody do spożycia w uzasadnionych adaptacją do zmian klimatu przypadkach, w tym m.in. działań związanych z ograniczaniem strat wody, zarządzaniem oraz zapewnieniem właściwego bezpieczeństwa dostarczania wody</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cel szczegółowy 2.5</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inwestycje w zrównoważoną gospodarkę wodną na</w:t>
            </w:r>
            <w:r>
              <w:rPr>
                <w:rFonts w:ascii="Times New Roman" w:eastAsia="Times New Roman" w:hAnsi="Times New Roman" w:cs="Times New Roman"/>
                <w:color w:val="000000"/>
                <w:sz w:val="16"/>
                <w:szCs w:val="16"/>
                <w:lang w:eastAsia="pl-PL"/>
              </w:rPr>
              <w:br/>
              <w:t>obszarach wiejskich;</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pożyczki komponent B</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III Ochrona zasobów środowiska i klimatu</w:t>
            </w:r>
          </w:p>
        </w:tc>
      </w:tr>
      <w:tr w:rsidR="00DC75FA">
        <w:trPr>
          <w:trHeight w:val="96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sieci kanalizacyjne, deszczowe, przydomowe oczyszczalnie ścieków, modernizacja systemów zaopatrzenia w wodę</w:t>
            </w:r>
          </w:p>
        </w:tc>
        <w:tc>
          <w:tcPr>
            <w:tcW w:w="86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III Ochrona zasobów środowiska i klimatu</w:t>
            </w:r>
          </w:p>
        </w:tc>
      </w:tr>
      <w:tr w:rsidR="00DC75FA">
        <w:trPr>
          <w:trHeight w:val="144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rozwój infrastruktury i wyposażenia podmiotów świadczących kompleksowe usługi sanatoryjne, uzdrowiskowe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xml:space="preserve">Priorytet 4. Kapitał społeczny, turystyka oraz usługi uzdrowiskowe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inwestycje w neutralizację zagrożeń oraz odnowę wielkoobszarowych terenów</w:t>
            </w:r>
            <w:r>
              <w:rPr>
                <w:rFonts w:ascii="Times New Roman" w:eastAsia="Times New Roman" w:hAnsi="Times New Roman" w:cs="Times New Roman"/>
                <w:color w:val="000000"/>
                <w:sz w:val="16"/>
                <w:szCs w:val="16"/>
                <w:lang w:eastAsia="pl-PL"/>
              </w:rPr>
              <w:br/>
              <w:t xml:space="preserve">zdegradowanych </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pożyczki komponent B</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DC75FA">
            <w:pPr>
              <w:spacing w:after="0" w:line="240" w:lineRule="auto"/>
              <w:jc w:val="center"/>
              <w:rPr>
                <w:rFonts w:ascii="Times New Roman" w:eastAsia="Times New Roman" w:hAnsi="Times New Roman" w:cs="Times New Roman"/>
                <w:color w:val="000000"/>
                <w:sz w:val="16"/>
                <w:szCs w:val="16"/>
                <w:lang w:eastAsia="pl-PL"/>
              </w:rPr>
            </w:pP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Przestrzeń</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III Ochrona zasobów środowiska i klimatu</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drogi rowerowe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Przestrzeń</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V Zrównoważony system transportu</w:t>
            </w:r>
          </w:p>
        </w:tc>
      </w:tr>
      <w:tr w:rsidR="00DC75FA">
        <w:trPr>
          <w:trHeight w:val="24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szlaki turystyczne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Przestrzeń</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xml:space="preserve">obiekty kulturalne, biblioteki, </w:t>
            </w:r>
            <w:proofErr w:type="spellStart"/>
            <w:r>
              <w:rPr>
                <w:rFonts w:ascii="Times New Roman" w:eastAsia="Times New Roman" w:hAnsi="Times New Roman" w:cs="Times New Roman"/>
                <w:color w:val="000000"/>
                <w:sz w:val="16"/>
                <w:szCs w:val="16"/>
                <w:lang w:eastAsia="pl-PL"/>
              </w:rPr>
              <w:t>GOKi</w:t>
            </w:r>
            <w:proofErr w:type="spellEnd"/>
            <w:r>
              <w:rPr>
                <w:rFonts w:ascii="Times New Roman" w:eastAsia="Times New Roman" w:hAnsi="Times New Roman" w:cs="Times New Roman"/>
                <w:color w:val="000000"/>
                <w:sz w:val="16"/>
                <w:szCs w:val="16"/>
                <w:lang w:eastAsia="pl-PL"/>
              </w:rPr>
              <w:t>, obiekty zabytkowe i prace konserwatorskie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VI Rozwój infrastruktury społecznej i zdrowotnej</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energooszczędne oświetlenie uliczne i drogowe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xml:space="preserve">Priorytet IV Efektywne wykorzystanie </w:t>
            </w:r>
            <w:r>
              <w:rPr>
                <w:rFonts w:ascii="Times New Roman" w:eastAsia="Times New Roman" w:hAnsi="Times New Roman" w:cs="Times New Roman"/>
                <w:color w:val="000000"/>
                <w:sz w:val="16"/>
                <w:szCs w:val="16"/>
                <w:lang w:eastAsia="pl-PL"/>
              </w:rPr>
              <w:lastRenderedPageBreak/>
              <w:t>energii</w:t>
            </w:r>
          </w:p>
        </w:tc>
      </w:tr>
      <w:tr w:rsidR="00DC75FA">
        <w:trPr>
          <w:trHeight w:val="96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lastRenderedPageBreak/>
              <w:t>rewitalizacja, bezpieczeństwo przestrzeni publicznych, rozwój obszarów o wysokich walorach przyrodniczych i krajobrazowych</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X Rozwój zrównoważony terytorialnie</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gospodarka w obiegu zamkniętym - sortownie odpadów, powtórne wykorzystanie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cel szczegółowy 2.6</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Przestrzeń</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III Ochrona zasobów środowiska i klimatu</w:t>
            </w:r>
          </w:p>
        </w:tc>
      </w:tr>
      <w:tr w:rsidR="00DC75FA">
        <w:trPr>
          <w:trHeight w:val="120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Natura 2000 - odtwarzania zdegradowanych siedlisk i ich zachowania oraz wzmacniania populacji zagrożonych gatunków, w tym w ekosystemach wodnych i od wód zależnych</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cel szczegółowy: 2.7</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xml:space="preserve">bioróżnorodność i rozwój </w:t>
            </w:r>
            <w:proofErr w:type="spellStart"/>
            <w:r>
              <w:rPr>
                <w:rFonts w:ascii="Times New Roman" w:eastAsia="Times New Roman" w:hAnsi="Times New Roman" w:cs="Times New Roman"/>
                <w:color w:val="000000"/>
                <w:sz w:val="16"/>
                <w:szCs w:val="16"/>
                <w:lang w:eastAsia="pl-PL"/>
              </w:rPr>
              <w:t>zielo</w:t>
            </w:r>
            <w:proofErr w:type="spellEnd"/>
            <w:r>
              <w:rPr>
                <w:rFonts w:ascii="Times New Roman" w:eastAsia="Times New Roman" w:hAnsi="Times New Roman" w:cs="Times New Roman"/>
                <w:color w:val="000000"/>
                <w:sz w:val="16"/>
                <w:szCs w:val="16"/>
                <w:lang w:eastAsia="pl-PL"/>
              </w:rPr>
              <w:t>-niebieskiej infrastruktury poza obszarami Natura 2000</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DC75FA">
            <w:pPr>
              <w:spacing w:after="0" w:line="240" w:lineRule="auto"/>
              <w:jc w:val="center"/>
              <w:rPr>
                <w:rFonts w:ascii="Times New Roman" w:eastAsia="Times New Roman" w:hAnsi="Times New Roman" w:cs="Times New Roman"/>
                <w:color w:val="000000"/>
                <w:sz w:val="16"/>
                <w:szCs w:val="16"/>
                <w:lang w:eastAsia="pl-PL"/>
              </w:rPr>
            </w:pP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III Ochrona zasobów środowiska i klimatu</w:t>
            </w:r>
          </w:p>
        </w:tc>
      </w:tr>
      <w:tr w:rsidR="00DC75FA">
        <w:trPr>
          <w:trHeight w:val="96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Internet szerokopasmowy</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I:Zwiększenie dostępu do ultra-szybkiego Internetu szerokopasmowego</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e-usługi publiczne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II: Zaawansowane usługi cyfrowe</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II Transformacja gospodarcza i cyfrowa regionu</w:t>
            </w:r>
          </w:p>
        </w:tc>
      </w:tr>
      <w:tr w:rsidR="00DC75FA">
        <w:trPr>
          <w:trHeight w:val="96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udział partnerów społecznych w procesach stanowienia oraz monitorowaniu prawa i polityk publicznych w zakresie rynku pracy</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1, cel szczegółowy d)</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pilotaż systemu Indywidualnych Kont Rozwojowych (IKR) [dla pracowników administracji]</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1, cel szczegółowy d)</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wsparcie inwestycji w sieć</w:t>
            </w:r>
            <w:r>
              <w:rPr>
                <w:rFonts w:ascii="Times New Roman" w:eastAsia="Times New Roman" w:hAnsi="Times New Roman" w:cs="Times New Roman"/>
                <w:color w:val="000000"/>
                <w:sz w:val="16"/>
                <w:szCs w:val="16"/>
                <w:lang w:eastAsia="pl-PL"/>
              </w:rPr>
              <w:br/>
              <w:t>5G;</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pożyczki komponent C</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144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programy wsparcia inwestycyjnego umożliwiające w szczególności rozwój działalności, zwiększenie udziału w realizacji usług społecznych, podniesienie jakości reintegracji w podmiotach ekonomii społecznej</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granty A4.3.1.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inwestycje związane z doposażeniem pracowników/przedsiębiorstw umożliwiającym pracę zdalną</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granty A4.4.1.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96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wsparcie programów dofinansowania miejsc opieki nad dziećmi 0-3 lat (żłobki, kluby dziecięce i dzienni opiekuni) w ramach MALUCH+</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granty A4.2.1.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II, cel szczegółowy c)</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Społeczeństwo</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96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tworzenie przedszkoli, inwestycje w tworzenie infrastruktury szkolenia ogólnego, zawodowego, ustawicznego, szkolnictwa wyższego</w:t>
            </w:r>
          </w:p>
        </w:tc>
        <w:tc>
          <w:tcPr>
            <w:tcW w:w="86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VI Rozwój infrastruktury społecznej i zdrowotnej</w:t>
            </w:r>
            <w:r>
              <w:rPr>
                <w:rFonts w:ascii="Times New Roman" w:eastAsia="Times New Roman" w:hAnsi="Times New Roman" w:cs="Times New Roman"/>
                <w:color w:val="000000"/>
                <w:sz w:val="16"/>
                <w:szCs w:val="16"/>
                <w:lang w:eastAsia="pl-PL"/>
              </w:rPr>
              <w:br/>
              <w:t xml:space="preserve">Priorytet IX Lepsza </w:t>
            </w:r>
            <w:r>
              <w:rPr>
                <w:rFonts w:ascii="Times New Roman" w:eastAsia="Times New Roman" w:hAnsi="Times New Roman" w:cs="Times New Roman"/>
                <w:color w:val="000000"/>
                <w:sz w:val="16"/>
                <w:szCs w:val="16"/>
                <w:lang w:eastAsia="pl-PL"/>
              </w:rPr>
              <w:lastRenderedPageBreak/>
              <w:t>edukacja</w:t>
            </w:r>
          </w:p>
        </w:tc>
      </w:tr>
      <w:tr w:rsidR="00DC75FA">
        <w:trPr>
          <w:trHeight w:val="72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lastRenderedPageBreak/>
              <w:t>rozwój cyfrowego otoczenia procesu wychowania przedszkolnego i kształcenia;</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pożyczki komponent C</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1, cel szczegółowy e)</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VI Rozwój infrastruktury społecznej i zdrowotnej</w:t>
            </w:r>
          </w:p>
        </w:tc>
      </w:tr>
      <w:tr w:rsidR="00DC75FA">
        <w:trPr>
          <w:trHeight w:val="96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wsparcie rozwoju nowoczesnego kształcenia zawodowego, szkolnictwa wyższego oraz uczenia się przez całe życie</w:t>
            </w:r>
          </w:p>
        </w:tc>
        <w:tc>
          <w:tcPr>
            <w:tcW w:w="86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granty A3.1.1.</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1, cel szczegółowy e)</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Społeczeństwo</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VI Rozwój infrastruktury społecznej i zdrowotnej</w:t>
            </w:r>
            <w:r>
              <w:rPr>
                <w:rFonts w:ascii="Times New Roman" w:eastAsia="Times New Roman" w:hAnsi="Times New Roman" w:cs="Times New Roman"/>
                <w:color w:val="000000"/>
                <w:sz w:val="16"/>
                <w:szCs w:val="16"/>
                <w:lang w:eastAsia="pl-PL"/>
              </w:rPr>
              <w:br/>
              <w:t>Priorytet IX Lepsza edukacja</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szkolenia kadr oświaty</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1, cel szczegółowy e)</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poradnictwo psychologiczno-pedagogiczne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1, cel szczegółowy f)</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xml:space="preserve">wsparcie dla </w:t>
            </w:r>
            <w:proofErr w:type="spellStart"/>
            <w:r>
              <w:rPr>
                <w:rFonts w:ascii="Times New Roman" w:eastAsia="Times New Roman" w:hAnsi="Times New Roman" w:cs="Times New Roman"/>
                <w:color w:val="000000"/>
                <w:sz w:val="16"/>
                <w:szCs w:val="16"/>
                <w:lang w:eastAsia="pl-PL"/>
              </w:rPr>
              <w:t>NGOs</w:t>
            </w:r>
            <w:proofErr w:type="spellEnd"/>
            <w:r>
              <w:rPr>
                <w:rFonts w:ascii="Times New Roman" w:eastAsia="Times New Roman" w:hAnsi="Times New Roman" w:cs="Times New Roman"/>
                <w:color w:val="000000"/>
                <w:sz w:val="16"/>
                <w:szCs w:val="16"/>
                <w:lang w:eastAsia="pl-PL"/>
              </w:rPr>
              <w:t xml:space="preserve"> realizujących usługi publiczne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1, cel szczegółowy k)</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r>
      <w:tr w:rsidR="00DC75FA">
        <w:trPr>
          <w:trHeight w:val="120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działania profilaktyczne, prozdrowotne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IV, cel szczegółowy d)</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VI Rozwój infrastruktury społecznej i zdrowotnej</w:t>
            </w:r>
            <w:r>
              <w:rPr>
                <w:rFonts w:ascii="Times New Roman" w:eastAsia="Times New Roman" w:hAnsi="Times New Roman" w:cs="Times New Roman"/>
                <w:color w:val="000000"/>
                <w:sz w:val="16"/>
                <w:szCs w:val="16"/>
                <w:lang w:eastAsia="pl-PL"/>
              </w:rPr>
              <w:br/>
              <w:t>Priorytet VII Zwiększanie spójności społecznej</w:t>
            </w:r>
          </w:p>
        </w:tc>
      </w:tr>
      <w:tr w:rsidR="00DC75FA">
        <w:trPr>
          <w:trHeight w:val="48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formy opieki dziennej dla osób starszych</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Oś IV, cel szczegółowy k)</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obszar Społeczeństwo</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VII Zwiększanie spójności społecznej</w:t>
            </w:r>
          </w:p>
        </w:tc>
      </w:tr>
      <w:tr w:rsidR="00DC75FA">
        <w:trPr>
          <w:trHeight w:val="1200"/>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infrastruktura dla środowiskowych form wsparcia osób starszych i z niepełnosprawnościami oraz mieszkania chronione i wspomagane</w:t>
            </w: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 </w:t>
            </w:r>
          </w:p>
        </w:tc>
        <w:tc>
          <w:tcPr>
            <w:tcW w:w="1031" w:type="dxa"/>
            <w:tcBorders>
              <w:top w:val="single" w:sz="4" w:space="0" w:color="000000"/>
              <w:left w:val="single" w:sz="4" w:space="0" w:color="000000"/>
              <w:bottom w:val="single" w:sz="4" w:space="0" w:color="000000"/>
              <w:right w:val="single" w:sz="4" w:space="0" w:color="000000"/>
            </w:tcBorders>
            <w:shd w:val="clear" w:color="000000" w:fill="BFBFBF"/>
            <w:vAlign w:val="center"/>
          </w:tcPr>
          <w:p w:rsidR="00DC75FA" w:rsidRDefault="00887D84">
            <w:pPr>
              <w:spacing w:after="0" w:line="240" w:lineRule="auto"/>
              <w:jc w:val="center"/>
              <w:rPr>
                <w:rFonts w:ascii="Times New Roman" w:eastAsia="Times New Roman" w:hAnsi="Times New Roman" w:cs="Times New Roman"/>
                <w:color w:val="000000"/>
                <w:sz w:val="16"/>
                <w:szCs w:val="16"/>
                <w:lang w:eastAsia="pl-PL"/>
              </w:rPr>
            </w:pPr>
            <w:r>
              <w:rPr>
                <w:rFonts w:ascii="Times New Roman" w:eastAsia="Times New Roman" w:hAnsi="Times New Roman" w:cs="Times New Roman"/>
                <w:color w:val="000000"/>
                <w:sz w:val="16"/>
                <w:szCs w:val="16"/>
                <w:lang w:eastAsia="pl-PL"/>
              </w:rPr>
              <w:t>Priorytet VI Rozwój infrastruktury społecznej i zdrowotnej</w:t>
            </w:r>
            <w:r>
              <w:rPr>
                <w:rFonts w:ascii="Times New Roman" w:eastAsia="Times New Roman" w:hAnsi="Times New Roman" w:cs="Times New Roman"/>
                <w:color w:val="000000"/>
                <w:sz w:val="16"/>
                <w:szCs w:val="16"/>
                <w:lang w:eastAsia="pl-PL"/>
              </w:rPr>
              <w:br/>
              <w:t>Priorytet VII Zwiększanie spójności społecznej</w:t>
            </w:r>
          </w:p>
        </w:tc>
      </w:tr>
    </w:tbl>
    <w:p w:rsidR="00DC75FA" w:rsidRDefault="00887D84">
      <w:pPr>
        <w:pStyle w:val="Legenda"/>
        <w:rPr>
          <w:rFonts w:ascii="Times New Roman" w:hAnsi="Times New Roman" w:cs="Times New Roman"/>
        </w:rPr>
      </w:pPr>
      <w:r>
        <w:rPr>
          <w:rFonts w:ascii="Times New Roman" w:hAnsi="Times New Roman" w:cs="Times New Roman"/>
        </w:rPr>
        <w:t xml:space="preserve">Źródło: Opracowanie własne na podstawie projektów dokumentów do konsultacji: </w:t>
      </w:r>
      <w:hyperlink r:id="rId52">
        <w:r>
          <w:rPr>
            <w:rStyle w:val="czeinternetowe"/>
            <w:rFonts w:ascii="Times New Roman" w:hAnsi="Times New Roman" w:cs="Times New Roman"/>
          </w:rPr>
          <w:t>https://www.funduszeeuropejskie.gov.pl/strony/o-funduszach/fundusze-na-lata-2021-2027/konsultacje-programow/</w:t>
        </w:r>
      </w:hyperlink>
      <w:r>
        <w:rPr>
          <w:rFonts w:ascii="Times New Roman" w:hAnsi="Times New Roman" w:cs="Times New Roman"/>
        </w:rPr>
        <w:t xml:space="preserve"> oraz </w:t>
      </w:r>
      <w:hyperlink r:id="rId53">
        <w:r>
          <w:rPr>
            <w:rStyle w:val="czeinternetowe"/>
            <w:rFonts w:ascii="Times New Roman" w:hAnsi="Times New Roman" w:cs="Times New Roman"/>
          </w:rPr>
          <w:t>www.lubelskie.pl</w:t>
        </w:r>
      </w:hyperlink>
      <w:r>
        <w:rPr>
          <w:rFonts w:ascii="Times New Roman" w:hAnsi="Times New Roman" w:cs="Times New Roman"/>
        </w:rPr>
        <w:t xml:space="preserve"> </w:t>
      </w:r>
    </w:p>
    <w:p w:rsidR="00DC75FA" w:rsidRDefault="00887D84">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 xml:space="preserve">Istotnym źródłem finansowania są też środki z budżetu Unii Europejskiej, dostępne w ramach zarządzania bezpośrednio sprawowanego przez Komisję Europejską w zakresie związanym m.in. z kwestiami klimatycznymi czy ochroną środowiska takie jak Program LIFE. Dodatkowo dostępne są fundusze na współpracę międzynarodową. Dla obszaru Zielonego Zagłębia dostępne będą Programy Współpracy Terytorialnej: </w:t>
      </w:r>
      <w:proofErr w:type="spellStart"/>
      <w:r>
        <w:rPr>
          <w:rStyle w:val="fontstyle21"/>
          <w:rFonts w:ascii="Times New Roman" w:hAnsi="Times New Roman" w:cs="Times New Roman"/>
          <w:color w:val="auto"/>
        </w:rPr>
        <w:t>Interreg</w:t>
      </w:r>
      <w:proofErr w:type="spellEnd"/>
      <w:r>
        <w:rPr>
          <w:rStyle w:val="fontstyle21"/>
          <w:rFonts w:ascii="Times New Roman" w:hAnsi="Times New Roman" w:cs="Times New Roman"/>
          <w:color w:val="auto"/>
        </w:rPr>
        <w:t xml:space="preserve"> </w:t>
      </w:r>
      <w:proofErr w:type="spellStart"/>
      <w:r>
        <w:rPr>
          <w:rStyle w:val="fontstyle21"/>
          <w:rFonts w:ascii="Times New Roman" w:hAnsi="Times New Roman" w:cs="Times New Roman"/>
          <w:color w:val="auto"/>
        </w:rPr>
        <w:t>Next</w:t>
      </w:r>
      <w:proofErr w:type="spellEnd"/>
      <w:r>
        <w:rPr>
          <w:rStyle w:val="fontstyle21"/>
          <w:rFonts w:ascii="Times New Roman" w:hAnsi="Times New Roman" w:cs="Times New Roman"/>
          <w:color w:val="auto"/>
        </w:rPr>
        <w:t xml:space="preserve"> Polska-Białoruś-Ukraina 2021-2027, Program Region Morza Bałtyckiego 2021-2027, Program </w:t>
      </w:r>
      <w:proofErr w:type="spellStart"/>
      <w:r>
        <w:rPr>
          <w:rStyle w:val="fontstyle21"/>
          <w:rFonts w:ascii="Times New Roman" w:hAnsi="Times New Roman" w:cs="Times New Roman"/>
          <w:color w:val="auto"/>
        </w:rPr>
        <w:t>Interreg</w:t>
      </w:r>
      <w:proofErr w:type="spellEnd"/>
      <w:r>
        <w:rPr>
          <w:rStyle w:val="fontstyle21"/>
          <w:rFonts w:ascii="Times New Roman" w:hAnsi="Times New Roman" w:cs="Times New Roman"/>
          <w:color w:val="auto"/>
        </w:rPr>
        <w:t xml:space="preserve"> Europa Środkowa 2021-2027, Program </w:t>
      </w:r>
      <w:proofErr w:type="spellStart"/>
      <w:r>
        <w:rPr>
          <w:rStyle w:val="fontstyle21"/>
          <w:rFonts w:ascii="Times New Roman" w:hAnsi="Times New Roman" w:cs="Times New Roman"/>
          <w:color w:val="auto"/>
        </w:rPr>
        <w:t>Interreg</w:t>
      </w:r>
      <w:proofErr w:type="spellEnd"/>
      <w:r>
        <w:rPr>
          <w:rStyle w:val="fontstyle21"/>
          <w:rFonts w:ascii="Times New Roman" w:hAnsi="Times New Roman" w:cs="Times New Roman"/>
          <w:color w:val="auto"/>
        </w:rPr>
        <w:t xml:space="preserve"> Europa 2021-2027.</w:t>
      </w:r>
    </w:p>
    <w:p w:rsidR="00DC75FA" w:rsidRDefault="00887D84">
      <w:pPr>
        <w:pStyle w:val="Bezodstpw"/>
        <w:spacing w:line="276" w:lineRule="auto"/>
        <w:jc w:val="both"/>
        <w:rPr>
          <w:rStyle w:val="fontstyle31"/>
          <w:rFonts w:ascii="Times New Roman" w:hAnsi="Times New Roman" w:cs="Times New Roman"/>
        </w:rPr>
      </w:pPr>
      <w:r>
        <w:rPr>
          <w:rFonts w:ascii="Times New Roman" w:hAnsi="Times New Roman" w:cs="Times New Roman"/>
        </w:rPr>
        <w:br/>
      </w:r>
      <w:r>
        <w:rPr>
          <w:rStyle w:val="fontstyle31"/>
          <w:rFonts w:ascii="Times New Roman" w:hAnsi="Times New Roman" w:cs="Times New Roman"/>
        </w:rPr>
        <w:t>Środki pochodzące z budżetu krajowego oraz środki budżetu Województwa Lubelskiego</w:t>
      </w:r>
    </w:p>
    <w:p w:rsidR="00DC75FA" w:rsidRDefault="00887D84">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 xml:space="preserve">Środki budżetu państwa lub samorządu województwa dostępne będą w ramach istniejących oraz nowych instrumentów takich, jak porozumienie terytorialne (zgodnie z Art. 14rb ustawy o zasadach prowadzenia polityki rozwoju). w tej kategorii wymienić można fundusze celowe utworzone specjalnie z przeznaczeniem na finansowanie infrastruktury transportowej. Są to w szczególności Krajowy </w:t>
      </w:r>
      <w:r>
        <w:rPr>
          <w:rStyle w:val="fontstyle21"/>
          <w:rFonts w:ascii="Times New Roman" w:hAnsi="Times New Roman" w:cs="Times New Roman"/>
          <w:color w:val="auto"/>
        </w:rPr>
        <w:lastRenderedPageBreak/>
        <w:t>Fundusz Drogowy (KFD), Fundusz Kolejowy (FK), fundusze i programy utworzone w Banku Gospodarstwa Krajowego; oraz dotacje celowe lub środki z rezerw celowych poszczególnych ministerstw. Zgodnie z ustawą o samorządzie województwa z budżetu województwa finansowane są m.in. zadania o charakterze wojewódzkim w zakresie transportu zbiorowego i dróg publicznych. Województwo zajmuje się finansowaniem m.in. rozwoju dróg wojewódzkich, regionalnych przewozów autobusowych, regionalnych przewozów kolejowych. Inwestycje te stanowić będą istotne uzupełnienie systemu transportowego gmin partnerskich.</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br/>
      </w:r>
      <w:r>
        <w:rPr>
          <w:rStyle w:val="fontstyle31"/>
          <w:rFonts w:ascii="Times New Roman" w:hAnsi="Times New Roman" w:cs="Times New Roman"/>
        </w:rPr>
        <w:t>Środki krajowych i międzynarodowych instytucji finansowych</w:t>
      </w:r>
    </w:p>
    <w:p w:rsidR="00DC75FA" w:rsidRDefault="00887D84">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Do finansowania zadań wynikających ze Strategii mogą być angażowane środki pozyskiwane m.in. z kredytów lub innych finansowych instrumentów zwrotnych i bezzwrotnych, uzyskanych za pośrednictwem instytucji finansowych takich jak m.in. Europejski Bank Inwestycyjny, czy też Bank Światowy.</w:t>
      </w:r>
    </w:p>
    <w:p w:rsidR="00DC75FA" w:rsidRDefault="00DC75FA">
      <w:pPr>
        <w:pStyle w:val="Bezodstpw"/>
        <w:spacing w:line="276" w:lineRule="auto"/>
        <w:jc w:val="both"/>
        <w:rPr>
          <w:rStyle w:val="fontstyle21"/>
          <w:rFonts w:ascii="Times New Roman" w:hAnsi="Times New Roman" w:cs="Times New Roman"/>
          <w:color w:val="auto"/>
        </w:rPr>
      </w:pPr>
    </w:p>
    <w:p w:rsidR="00DC75FA" w:rsidRDefault="00887D84">
      <w:pPr>
        <w:pStyle w:val="Bezodstpw"/>
        <w:spacing w:line="276" w:lineRule="auto"/>
        <w:jc w:val="both"/>
        <w:rPr>
          <w:rStyle w:val="fontstyle31"/>
          <w:rFonts w:ascii="Times New Roman" w:hAnsi="Times New Roman" w:cs="Times New Roman"/>
        </w:rPr>
      </w:pPr>
      <w:r>
        <w:rPr>
          <w:rStyle w:val="fontstyle31"/>
          <w:rFonts w:ascii="Times New Roman" w:hAnsi="Times New Roman" w:cs="Times New Roman"/>
        </w:rPr>
        <w:t>Środki prywatne</w:t>
      </w:r>
    </w:p>
    <w:p w:rsidR="00DC75FA" w:rsidRDefault="00887D84">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Dotychczasowe doświadczenia jednostek samorządu terytorialnego wskazują na możliwości finansowania przedsięwzięć infrastrukturalnych ze środków prywatnych, przede wszystkim przy wykorzystaniu formuły partnerstwa publiczno-prywatnego. Jest to rozwiązanie coraz silniej wspierane przez Unię Europejską i może posłużyć do realizacji inwestycji, leżących w interesie publicznym. Udział środków prywatnych jest szczególnie istotny w realizacji niektórych przedsięwzięć wymagających zbiorowego wysiłku ze względu na ich skomplikowany i długoletni charakter – np. w projektach rewitalizacji.</w:t>
      </w:r>
    </w:p>
    <w:p w:rsidR="00DC75FA" w:rsidRDefault="00DC75FA">
      <w:pPr>
        <w:pStyle w:val="Bezodstpw"/>
        <w:spacing w:line="276" w:lineRule="auto"/>
        <w:jc w:val="both"/>
        <w:rPr>
          <w:rStyle w:val="fontstyle21"/>
          <w:rFonts w:ascii="Times New Roman" w:hAnsi="Times New Roman" w:cs="Times New Roman"/>
          <w:color w:val="auto"/>
        </w:rPr>
      </w:pPr>
    </w:p>
    <w:p w:rsidR="00DC75FA" w:rsidRDefault="00887D84">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Dla zapewnienia skutecznej realizacji przedsięwzięć wynikających ze Strategii istotne jest podejmowanie prób poszukiwania nowych, wspólnych rozwiązań (w tym organizacyjnych) w zakresie zarządzania i finansowania. Ważnym elementem sprawnego wdrażania Strategii powinny być zatem działania zmierzające do podejmowania możliwie szerokiej współpracy pomiędzy samorządami lokalnymi gmin partnerskich, nie tylko w zakresie wspólnego finansowania poszczególnych zadań ale również zapewnienia ciągłości funkcjonowania inwestycji (może to obejmować np. kwestie związane z obszarem zagospodarowania odpadów czy instalacjami dostarczającymi energię ze źródeł odnawialnych i </w:t>
      </w:r>
      <w:proofErr w:type="spellStart"/>
      <w:r>
        <w:rPr>
          <w:rStyle w:val="fontstyle21"/>
          <w:rFonts w:ascii="Times New Roman" w:hAnsi="Times New Roman" w:cs="Times New Roman"/>
          <w:color w:val="auto"/>
        </w:rPr>
        <w:t>biokompostowni</w:t>
      </w:r>
      <w:proofErr w:type="spellEnd"/>
      <w:r>
        <w:rPr>
          <w:rStyle w:val="fontstyle21"/>
          <w:rFonts w:ascii="Times New Roman" w:hAnsi="Times New Roman" w:cs="Times New Roman"/>
          <w:color w:val="auto"/>
        </w:rPr>
        <w:t>).</w:t>
      </w:r>
    </w:p>
    <w:p w:rsidR="00DC75FA" w:rsidRDefault="00DC75FA">
      <w:pPr>
        <w:pStyle w:val="Bezodstpw"/>
        <w:spacing w:line="276" w:lineRule="auto"/>
        <w:jc w:val="both"/>
        <w:rPr>
          <w:rStyle w:val="fontstyle21"/>
          <w:rFonts w:ascii="Times New Roman" w:hAnsi="Times New Roman" w:cs="Times New Roman"/>
          <w:color w:val="auto"/>
        </w:rPr>
      </w:pPr>
    </w:p>
    <w:p w:rsidR="00DC75FA" w:rsidRDefault="00887D84">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Wdrażanie przewidzianych w Strategii przedsięwzięć odbywać się będzie z poszanowaniem fundamentalnych praw człowieka określonych w Karcie Praw Podstawowych Unii Europejskiej, w tym m.in.: ochroną danych osobowych, wolnością wyboru zawodu i prawem do podejmowania pracy, wolnością prowadzenia działalności gospodarczej, prawem własności, równością wobec prawa, niedyskryminacją, równością kobiet i mężczyzn, integracją osób niepełnosprawnych, ochroną środowiska, prawem do dobrej administracji, prawem dostępu do dokumentów i pozostałymi aktami normatywnymi, wytycznymi i dobrymi praktykami realizacji przedsięwzięć rozwojowych.</w:t>
      </w:r>
    </w:p>
    <w:p w:rsidR="00DC75FA" w:rsidRDefault="00887D84">
      <w:pPr>
        <w:pStyle w:val="Bezodstpw"/>
        <w:spacing w:line="276" w:lineRule="auto"/>
        <w:jc w:val="both"/>
        <w:rPr>
          <w:rStyle w:val="fontstyle21"/>
          <w:rFonts w:ascii="Times New Roman" w:hAnsi="Times New Roman" w:cs="Times New Roman"/>
          <w:color w:val="auto"/>
        </w:rPr>
      </w:pPr>
      <w:r>
        <w:rPr>
          <w:rStyle w:val="fontstyle21"/>
          <w:rFonts w:ascii="Times New Roman" w:hAnsi="Times New Roman" w:cs="Times New Roman"/>
          <w:color w:val="auto"/>
        </w:rPr>
        <w:t>Wsparcie będzie zgodne z zasadami transparentności i niedyskryminacji, a także z warunkami określonymi w art. 11 Rozporządzenia Ogólnego, tj. w zakresie równości szans kobiet i mężczyzn oraz niedyskryminacji, a także zrównoważonego rozwoju oraz Załącznikiem III do Rozporządzenia Ogólnego.</w:t>
      </w:r>
    </w:p>
    <w:p w:rsidR="00DC75FA" w:rsidRDefault="00DC75FA">
      <w:pPr>
        <w:rPr>
          <w:rFonts w:ascii="Times New Roman" w:hAnsi="Times New Roman" w:cs="Times New Roman"/>
        </w:rPr>
      </w:pPr>
    </w:p>
    <w:p w:rsidR="00DC75FA" w:rsidRDefault="00887D84">
      <w:pPr>
        <w:pStyle w:val="Legenda"/>
        <w:rPr>
          <w:rFonts w:ascii="Times New Roman" w:hAnsi="Times New Roman" w:cs="Times New Roman"/>
        </w:rPr>
      </w:pPr>
      <w:bookmarkStart w:id="42" w:name="_Toc75897201"/>
      <w:r>
        <w:rPr>
          <w:rFonts w:ascii="Times New Roman" w:hAnsi="Times New Roman" w:cs="Times New Roman"/>
        </w:rPr>
        <w:t xml:space="preserve">Tabela </w:t>
      </w:r>
      <w:r>
        <w:rPr>
          <w:rFonts w:ascii="Times New Roman" w:hAnsi="Times New Roman" w:cs="Times New Roman"/>
        </w:rPr>
        <w:fldChar w:fldCharType="begin"/>
      </w:r>
      <w:r>
        <w:rPr>
          <w:rFonts w:ascii="Times New Roman" w:hAnsi="Times New Roman" w:cs="Times New Roman"/>
        </w:rPr>
        <w:instrText>SEQ Tabela \* ARABIC</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 xml:space="preserve"> Indykatywna tabela finansowa oraz źródła finansowania</w:t>
      </w:r>
      <w:bookmarkEnd w:id="42"/>
    </w:p>
    <w:tbl>
      <w:tblPr>
        <w:tblW w:w="9204" w:type="dxa"/>
        <w:tblLook w:val="04A0" w:firstRow="1" w:lastRow="0" w:firstColumn="1" w:lastColumn="0" w:noHBand="0" w:noVBand="1"/>
      </w:tblPr>
      <w:tblGrid>
        <w:gridCol w:w="4305"/>
        <w:gridCol w:w="2449"/>
        <w:gridCol w:w="2450"/>
      </w:tblGrid>
      <w:tr w:rsidR="00DC75FA">
        <w:trPr>
          <w:trHeight w:val="389"/>
        </w:trPr>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center"/>
              <w:rPr>
                <w:rFonts w:ascii="Times New Roman" w:hAnsi="Times New Roman" w:cs="Times New Roman"/>
              </w:rPr>
            </w:pPr>
            <w:r>
              <w:rPr>
                <w:rFonts w:ascii="Times New Roman" w:hAnsi="Times New Roman" w:cs="Times New Roman"/>
              </w:rPr>
              <w:t>Kierunki rozwojowe</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center"/>
              <w:rPr>
                <w:rFonts w:ascii="Times New Roman" w:hAnsi="Times New Roman" w:cs="Times New Roman"/>
              </w:rPr>
            </w:pPr>
            <w:r>
              <w:rPr>
                <w:rFonts w:ascii="Times New Roman" w:hAnsi="Times New Roman" w:cs="Times New Roman"/>
              </w:rPr>
              <w:t>Szacunek wartości</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center"/>
              <w:rPr>
                <w:rFonts w:ascii="Times New Roman" w:hAnsi="Times New Roman" w:cs="Times New Roman"/>
              </w:rPr>
            </w:pPr>
            <w:r>
              <w:rPr>
                <w:rFonts w:ascii="Times New Roman" w:hAnsi="Times New Roman" w:cs="Times New Roman"/>
              </w:rPr>
              <w:t xml:space="preserve">Potencjalne źródło </w:t>
            </w:r>
            <w:r>
              <w:rPr>
                <w:rFonts w:ascii="Times New Roman" w:hAnsi="Times New Roman" w:cs="Times New Roman"/>
              </w:rPr>
              <w:lastRenderedPageBreak/>
              <w:t>finansowania</w:t>
            </w:r>
          </w:p>
        </w:tc>
      </w:tr>
      <w:tr w:rsidR="00DC75FA">
        <w:tc>
          <w:tcPr>
            <w:tcW w:w="9204" w:type="dxa"/>
            <w:gridSpan w:val="3"/>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DC75FA" w:rsidRDefault="00887D84">
            <w:pPr>
              <w:jc w:val="center"/>
              <w:rPr>
                <w:rFonts w:ascii="Times New Roman" w:hAnsi="Times New Roman" w:cs="Times New Roman"/>
              </w:rPr>
            </w:pPr>
            <w:r>
              <w:rPr>
                <w:rFonts w:ascii="Times New Roman" w:hAnsi="Times New Roman" w:cs="Times New Roman"/>
              </w:rPr>
              <w:lastRenderedPageBreak/>
              <w:t>Cel 1: Innowacyjny rozwój gospodarki oparty na systemie edukacji, lokalnym potencjale przyrodniczym i sieciach powiązań</w:t>
            </w:r>
          </w:p>
        </w:tc>
      </w:tr>
      <w:tr w:rsidR="00DC75FA">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 xml:space="preserve">Rekultywacja zdegradowanych terenów </w:t>
            </w:r>
            <w:proofErr w:type="spellStart"/>
            <w:r>
              <w:rPr>
                <w:rFonts w:ascii="Times New Roman" w:hAnsi="Times New Roman" w:cs="Times New Roman"/>
              </w:rPr>
              <w:t>pogórniczych</w:t>
            </w:r>
            <w:proofErr w:type="spellEnd"/>
            <w:r>
              <w:rPr>
                <w:rFonts w:ascii="Times New Roman" w:hAnsi="Times New Roman" w:cs="Times New Roman"/>
              </w:rPr>
              <w:t xml:space="preserve"> na obszar turystyczno-rekreacyjny  wraz z infrastrukturą towarzyszącą</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right"/>
              <w:rPr>
                <w:rFonts w:ascii="Times New Roman" w:hAnsi="Times New Roman" w:cs="Times New Roman"/>
              </w:rPr>
            </w:pPr>
            <w:r>
              <w:rPr>
                <w:rFonts w:ascii="Times New Roman" w:hAnsi="Times New Roman" w:cs="Times New Roman"/>
              </w:rPr>
              <w:t>70 000 000,00</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 xml:space="preserve">Fundusz Sprawiedliwej Transformacji, </w:t>
            </w:r>
            <w:r>
              <w:rPr>
                <w:rFonts w:ascii="Times New Roman" w:hAnsi="Times New Roman" w:cs="Times New Roman"/>
              </w:rPr>
              <w:br/>
              <w:t>Fundusze Europejskie dla Lubelskiego 2021-2027</w:t>
            </w:r>
          </w:p>
        </w:tc>
      </w:tr>
      <w:tr w:rsidR="00DC75FA">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Pozyskiwanie nowych technologii poprzez współpracę z uczelniami lubelskimi, inkubacja zielonych miejsc pracy</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right"/>
              <w:rPr>
                <w:rFonts w:ascii="Times New Roman" w:hAnsi="Times New Roman" w:cs="Times New Roman"/>
              </w:rPr>
            </w:pPr>
            <w:r>
              <w:rPr>
                <w:rFonts w:ascii="Times New Roman" w:hAnsi="Times New Roman" w:cs="Times New Roman"/>
              </w:rPr>
              <w:t>23 000 000,00</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 xml:space="preserve">Fundusz Sprawiedliwej Transformacji, </w:t>
            </w:r>
            <w:r>
              <w:rPr>
                <w:rFonts w:ascii="Times New Roman" w:hAnsi="Times New Roman" w:cs="Times New Roman"/>
              </w:rPr>
              <w:br/>
              <w:t>Fundusze Europejskie dla Lubelskiego 2021-2027,</w:t>
            </w:r>
          </w:p>
          <w:p w:rsidR="00DC75FA" w:rsidRDefault="00887D84">
            <w:pPr>
              <w:rPr>
                <w:rFonts w:ascii="Times New Roman" w:hAnsi="Times New Roman" w:cs="Times New Roman"/>
              </w:rPr>
            </w:pPr>
            <w:r>
              <w:rPr>
                <w:rFonts w:ascii="Times New Roman" w:hAnsi="Times New Roman" w:cs="Times New Roman"/>
              </w:rPr>
              <w:t>Fundusze Europejskie dla Nowoczesnej Gospodarki</w:t>
            </w:r>
          </w:p>
          <w:p w:rsidR="00DC75FA" w:rsidRDefault="00887D84">
            <w:pPr>
              <w:rPr>
                <w:rFonts w:ascii="Times New Roman" w:hAnsi="Times New Roman" w:cs="Times New Roman"/>
              </w:rPr>
            </w:pPr>
            <w:r>
              <w:rPr>
                <w:rFonts w:ascii="Times New Roman" w:hAnsi="Times New Roman" w:cs="Times New Roman"/>
              </w:rPr>
              <w:t xml:space="preserve">Fundusze Europejskie na Rozwój Społeczny </w:t>
            </w:r>
          </w:p>
        </w:tc>
      </w:tr>
      <w:tr w:rsidR="00DC75FA">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b/>
                <w:bCs/>
              </w:rPr>
            </w:pPr>
            <w:r>
              <w:rPr>
                <w:rFonts w:ascii="Times New Roman" w:hAnsi="Times New Roman" w:cs="Times New Roman"/>
              </w:rPr>
              <w:t>Utworzenie strefy lub podstrefy ekonomicznej jako alternatywy górnictwa</w:t>
            </w:r>
          </w:p>
          <w:p w:rsidR="00DC75FA" w:rsidRDefault="00DC75FA">
            <w:pPr>
              <w:rPr>
                <w:rFonts w:ascii="Times New Roman" w:hAnsi="Times New Roman" w:cs="Times New Roman"/>
              </w:rPr>
            </w:pP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right"/>
              <w:rPr>
                <w:rFonts w:ascii="Times New Roman" w:hAnsi="Times New Roman" w:cs="Times New Roman"/>
              </w:rPr>
            </w:pPr>
            <w:r>
              <w:rPr>
                <w:rFonts w:ascii="Times New Roman" w:hAnsi="Times New Roman" w:cs="Times New Roman"/>
              </w:rPr>
              <w:t>45 000 000,00</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 xml:space="preserve">Fundusz Sprawiedliwej Transformacji, </w:t>
            </w:r>
            <w:r>
              <w:rPr>
                <w:rFonts w:ascii="Times New Roman" w:hAnsi="Times New Roman" w:cs="Times New Roman"/>
              </w:rPr>
              <w:br/>
              <w:t>Krajowy Program Odbudowy</w:t>
            </w:r>
          </w:p>
        </w:tc>
      </w:tr>
      <w:tr w:rsidR="00DC75FA">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Tworzenie miejsc opieki i wychowania przedszkolnego dzieci do lat 5</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pStyle w:val="Akapitzlist"/>
              <w:jc w:val="right"/>
              <w:rPr>
                <w:rFonts w:ascii="Times New Roman" w:hAnsi="Times New Roman" w:cs="Times New Roman"/>
              </w:rPr>
            </w:pPr>
            <w:r>
              <w:rPr>
                <w:rFonts w:ascii="Times New Roman" w:hAnsi="Times New Roman" w:cs="Times New Roman"/>
              </w:rPr>
              <w:t>5 000 000,00</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Fundusze Europejskie dla Lubelskiego 2021-2027,</w:t>
            </w:r>
          </w:p>
          <w:p w:rsidR="00DC75FA" w:rsidRDefault="00DC75FA">
            <w:pPr>
              <w:rPr>
                <w:rFonts w:ascii="Times New Roman" w:hAnsi="Times New Roman" w:cs="Times New Roman"/>
              </w:rPr>
            </w:pPr>
          </w:p>
        </w:tc>
      </w:tr>
      <w:tr w:rsidR="00DC75FA">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Projekty wspomagające edukację i szkolnictwo ogólne i zawodowe</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pStyle w:val="Akapitzlist"/>
              <w:jc w:val="right"/>
              <w:rPr>
                <w:rFonts w:ascii="Times New Roman" w:hAnsi="Times New Roman" w:cs="Times New Roman"/>
              </w:rPr>
            </w:pPr>
            <w:r>
              <w:rPr>
                <w:rFonts w:ascii="Times New Roman" w:hAnsi="Times New Roman" w:cs="Times New Roman"/>
              </w:rPr>
              <w:t>8 000 000,00</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Fundusze Europejskie dla Lubelskiego 2021-2027,</w:t>
            </w:r>
          </w:p>
          <w:p w:rsidR="00DC75FA" w:rsidRDefault="00DC75FA">
            <w:pPr>
              <w:rPr>
                <w:rFonts w:ascii="Times New Roman" w:hAnsi="Times New Roman" w:cs="Times New Roman"/>
              </w:rPr>
            </w:pPr>
          </w:p>
        </w:tc>
      </w:tr>
      <w:tr w:rsidR="00DC75FA">
        <w:tc>
          <w:tcPr>
            <w:tcW w:w="9204" w:type="dxa"/>
            <w:gridSpan w:val="3"/>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DC75FA" w:rsidRDefault="00887D84">
            <w:pPr>
              <w:jc w:val="center"/>
              <w:rPr>
                <w:rFonts w:ascii="Times New Roman" w:hAnsi="Times New Roman" w:cs="Times New Roman"/>
              </w:rPr>
            </w:pPr>
            <w:r>
              <w:rPr>
                <w:rFonts w:ascii="Times New Roman" w:hAnsi="Times New Roman" w:cs="Times New Roman"/>
              </w:rPr>
              <w:t xml:space="preserve">Cel 2: </w:t>
            </w:r>
            <w:r>
              <w:rPr>
                <w:rFonts w:ascii="Times New Roman" w:hAnsi="Times New Roman" w:cs="Times New Roman"/>
                <w:shd w:val="clear" w:color="auto" w:fill="2E74B5"/>
              </w:rPr>
              <w:t xml:space="preserve">Przeciwdziałanie wykluczeniu i profilaktyka, wsparcie grup </w:t>
            </w:r>
            <w:proofErr w:type="spellStart"/>
            <w:r>
              <w:rPr>
                <w:rFonts w:ascii="Times New Roman" w:hAnsi="Times New Roman" w:cs="Times New Roman"/>
                <w:shd w:val="clear" w:color="auto" w:fill="2E74B5"/>
              </w:rPr>
              <w:t>defaworyzowanych</w:t>
            </w:r>
            <w:proofErr w:type="spellEnd"/>
          </w:p>
        </w:tc>
      </w:tr>
      <w:tr w:rsidR="00DC75FA">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b/>
                <w:bCs/>
              </w:rPr>
            </w:pPr>
            <w:r>
              <w:rPr>
                <w:rFonts w:ascii="Times New Roman" w:hAnsi="Times New Roman" w:cs="Times New Roman"/>
              </w:rPr>
              <w:t>Stworzenie sieci instytucji wsparcia grup zagrożonych marginalizacją i wykluczeniem społecznym</w:t>
            </w:r>
          </w:p>
          <w:p w:rsidR="00DC75FA" w:rsidRDefault="00DC75FA">
            <w:pPr>
              <w:rPr>
                <w:rFonts w:ascii="Times New Roman" w:hAnsi="Times New Roman" w:cs="Times New Roman"/>
              </w:rPr>
            </w:pP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pStyle w:val="Akapitzlist"/>
              <w:jc w:val="right"/>
              <w:rPr>
                <w:rFonts w:ascii="Times New Roman" w:hAnsi="Times New Roman" w:cs="Times New Roman"/>
              </w:rPr>
            </w:pPr>
            <w:r>
              <w:rPr>
                <w:rFonts w:ascii="Times New Roman" w:hAnsi="Times New Roman" w:cs="Times New Roman"/>
              </w:rPr>
              <w:t>15 000 000,00</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Fundusze Europejskie dla Lubelskiego 2021-2027</w:t>
            </w:r>
          </w:p>
        </w:tc>
      </w:tr>
      <w:tr w:rsidR="00DC75FA">
        <w:tc>
          <w:tcPr>
            <w:tcW w:w="9204" w:type="dxa"/>
            <w:gridSpan w:val="3"/>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DC75FA" w:rsidRDefault="00887D84">
            <w:pPr>
              <w:jc w:val="center"/>
              <w:rPr>
                <w:rFonts w:ascii="Times New Roman" w:hAnsi="Times New Roman" w:cs="Times New Roman"/>
              </w:rPr>
            </w:pPr>
            <w:r>
              <w:rPr>
                <w:rFonts w:ascii="Times New Roman" w:hAnsi="Times New Roman" w:cs="Times New Roman"/>
              </w:rPr>
              <w:t xml:space="preserve">Cel 3: Ochrona walorów środowiska i działania </w:t>
            </w:r>
            <w:proofErr w:type="spellStart"/>
            <w:r>
              <w:rPr>
                <w:rFonts w:ascii="Times New Roman" w:hAnsi="Times New Roman" w:cs="Times New Roman"/>
              </w:rPr>
              <w:t>mitygacyjne</w:t>
            </w:r>
            <w:proofErr w:type="spellEnd"/>
            <w:r>
              <w:rPr>
                <w:rFonts w:ascii="Times New Roman" w:hAnsi="Times New Roman" w:cs="Times New Roman"/>
              </w:rPr>
              <w:t xml:space="preserve"> (zapobiegawcze)</w:t>
            </w:r>
          </w:p>
        </w:tc>
      </w:tr>
      <w:tr w:rsidR="00DC75FA">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Zielona energia w Zielonym Zagłębiu</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right"/>
              <w:rPr>
                <w:rFonts w:ascii="Times New Roman" w:hAnsi="Times New Roman" w:cs="Times New Roman"/>
              </w:rPr>
            </w:pPr>
            <w:r>
              <w:rPr>
                <w:rFonts w:ascii="Times New Roman" w:hAnsi="Times New Roman" w:cs="Times New Roman"/>
              </w:rPr>
              <w:t>103 000 000,00</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 xml:space="preserve">Fundusz Sprawiedliwej Transformacji, </w:t>
            </w:r>
            <w:r>
              <w:rPr>
                <w:rFonts w:ascii="Times New Roman" w:hAnsi="Times New Roman" w:cs="Times New Roman"/>
              </w:rPr>
              <w:br/>
              <w:t>Fundusze Europejskie dla Lubelskiego 2021-2027,</w:t>
            </w:r>
          </w:p>
          <w:p w:rsidR="00DC75FA" w:rsidRDefault="00887D84">
            <w:pPr>
              <w:rPr>
                <w:rFonts w:ascii="Times New Roman" w:hAnsi="Times New Roman" w:cs="Times New Roman"/>
              </w:rPr>
            </w:pPr>
            <w:r>
              <w:rPr>
                <w:rFonts w:ascii="Times New Roman" w:hAnsi="Times New Roman" w:cs="Times New Roman"/>
              </w:rPr>
              <w:lastRenderedPageBreak/>
              <w:t>Fundusze Europejskie dla Nowoczesnej Gospodarki</w:t>
            </w:r>
          </w:p>
          <w:p w:rsidR="00DC75FA" w:rsidRDefault="00887D84">
            <w:pPr>
              <w:rPr>
                <w:rFonts w:ascii="Times New Roman" w:hAnsi="Times New Roman" w:cs="Times New Roman"/>
              </w:rPr>
            </w:pPr>
            <w:r>
              <w:rPr>
                <w:rFonts w:ascii="Times New Roman" w:hAnsi="Times New Roman" w:cs="Times New Roman"/>
              </w:rPr>
              <w:t>Fundusze Europejskie na Infrastrukturę, Klimat i Środowisko</w:t>
            </w:r>
          </w:p>
        </w:tc>
      </w:tr>
      <w:tr w:rsidR="00DC75FA">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lastRenderedPageBreak/>
              <w:t xml:space="preserve">Czyste Zielone Zagłębie – Racjonalna Gospodarka Odpadami </w:t>
            </w:r>
          </w:p>
          <w:p w:rsidR="00DC75FA" w:rsidRDefault="00DC75FA">
            <w:pPr>
              <w:rPr>
                <w:rFonts w:ascii="Times New Roman" w:hAnsi="Times New Roman" w:cs="Times New Roman"/>
              </w:rPr>
            </w:pP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right"/>
              <w:rPr>
                <w:rFonts w:ascii="Times New Roman" w:hAnsi="Times New Roman" w:cs="Times New Roman"/>
              </w:rPr>
            </w:pPr>
            <w:r>
              <w:rPr>
                <w:rFonts w:ascii="Times New Roman" w:hAnsi="Times New Roman" w:cs="Times New Roman"/>
              </w:rPr>
              <w:t>50 000 000,00</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 xml:space="preserve">Fundusz Sprawiedliwej Transformacji, </w:t>
            </w:r>
            <w:r>
              <w:rPr>
                <w:rFonts w:ascii="Times New Roman" w:hAnsi="Times New Roman" w:cs="Times New Roman"/>
              </w:rPr>
              <w:br/>
              <w:t>Fundusze Europejskie dla Lubelskiego 2021-2027,</w:t>
            </w:r>
          </w:p>
          <w:p w:rsidR="00DC75FA" w:rsidRDefault="00887D84">
            <w:pPr>
              <w:rPr>
                <w:rFonts w:ascii="Times New Roman" w:hAnsi="Times New Roman" w:cs="Times New Roman"/>
              </w:rPr>
            </w:pPr>
            <w:r>
              <w:rPr>
                <w:rFonts w:ascii="Times New Roman" w:hAnsi="Times New Roman" w:cs="Times New Roman"/>
              </w:rPr>
              <w:t>Fundusze Europejskie na Infrastrukturę, Klimat i Środowisko</w:t>
            </w:r>
          </w:p>
        </w:tc>
      </w:tr>
      <w:tr w:rsidR="00DC75FA">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 xml:space="preserve">Uzupełnienia sieci </w:t>
            </w:r>
            <w:proofErr w:type="spellStart"/>
            <w:r>
              <w:rPr>
                <w:rFonts w:ascii="Times New Roman" w:hAnsi="Times New Roman" w:cs="Times New Roman"/>
              </w:rPr>
              <w:t>wod-kan</w:t>
            </w:r>
            <w:proofErr w:type="spellEnd"/>
            <w:r>
              <w:rPr>
                <w:rFonts w:ascii="Times New Roman" w:hAnsi="Times New Roman" w:cs="Times New Roman"/>
              </w:rPr>
              <w:t>, zielono-niebieska infrastruktura</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right"/>
              <w:rPr>
                <w:rFonts w:ascii="Times New Roman" w:hAnsi="Times New Roman" w:cs="Times New Roman"/>
              </w:rPr>
            </w:pPr>
            <w:r>
              <w:rPr>
                <w:rFonts w:ascii="Times New Roman" w:hAnsi="Times New Roman" w:cs="Times New Roman"/>
              </w:rPr>
              <w:t>10 000 000,00</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Fundusze Europejskie dla Lubelskiego 2021-2027,</w:t>
            </w:r>
          </w:p>
          <w:p w:rsidR="00DC75FA" w:rsidRDefault="00887D84">
            <w:pPr>
              <w:rPr>
                <w:rFonts w:ascii="Times New Roman" w:hAnsi="Times New Roman" w:cs="Times New Roman"/>
              </w:rPr>
            </w:pPr>
            <w:r>
              <w:rPr>
                <w:rFonts w:ascii="Times New Roman" w:hAnsi="Times New Roman" w:cs="Times New Roman"/>
              </w:rPr>
              <w:t>Fundusze Europejskie na Infrastrukturę, Klimat i Środowisko</w:t>
            </w:r>
          </w:p>
        </w:tc>
      </w:tr>
      <w:tr w:rsidR="00DC75FA">
        <w:tc>
          <w:tcPr>
            <w:tcW w:w="9204" w:type="dxa"/>
            <w:gridSpan w:val="3"/>
            <w:tcBorders>
              <w:top w:val="single" w:sz="4" w:space="0" w:color="000000"/>
              <w:left w:val="single" w:sz="4" w:space="0" w:color="000000"/>
              <w:bottom w:val="single" w:sz="4" w:space="0" w:color="000000"/>
              <w:right w:val="single" w:sz="4" w:space="0" w:color="000000"/>
            </w:tcBorders>
            <w:shd w:val="clear" w:color="auto" w:fill="2E74B5" w:themeFill="accent1" w:themeFillShade="BF"/>
          </w:tcPr>
          <w:p w:rsidR="00DC75FA" w:rsidRDefault="00887D84">
            <w:pPr>
              <w:jc w:val="center"/>
              <w:rPr>
                <w:rFonts w:ascii="Times New Roman" w:hAnsi="Times New Roman" w:cs="Times New Roman"/>
              </w:rPr>
            </w:pPr>
            <w:r>
              <w:rPr>
                <w:rFonts w:ascii="Times New Roman" w:hAnsi="Times New Roman" w:cs="Times New Roman"/>
              </w:rPr>
              <w:t>Projekty komplementarne publiczne</w:t>
            </w:r>
          </w:p>
        </w:tc>
      </w:tr>
      <w:tr w:rsidR="00DC75FA">
        <w:tc>
          <w:tcPr>
            <w:tcW w:w="4305"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Projekty rewitalizacyjne, zagospodarowanie przestrzeni publicznych</w:t>
            </w:r>
          </w:p>
        </w:tc>
        <w:tc>
          <w:tcPr>
            <w:tcW w:w="2449"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jc w:val="right"/>
              <w:rPr>
                <w:rFonts w:ascii="Times New Roman" w:hAnsi="Times New Roman" w:cs="Times New Roman"/>
              </w:rPr>
            </w:pPr>
            <w:r>
              <w:rPr>
                <w:rFonts w:ascii="Times New Roman" w:hAnsi="Times New Roman" w:cs="Times New Roman"/>
              </w:rPr>
              <w:t>25 000 000,00</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DC75FA" w:rsidRDefault="00887D84">
            <w:pPr>
              <w:rPr>
                <w:rFonts w:ascii="Times New Roman" w:hAnsi="Times New Roman" w:cs="Times New Roman"/>
              </w:rPr>
            </w:pPr>
            <w:r>
              <w:rPr>
                <w:rFonts w:ascii="Times New Roman" w:hAnsi="Times New Roman" w:cs="Times New Roman"/>
              </w:rPr>
              <w:t>Fundusze Europejskie dla Lubelskiego 2021-2027</w:t>
            </w:r>
          </w:p>
          <w:p w:rsidR="00DC75FA" w:rsidRDefault="00887D84">
            <w:pPr>
              <w:rPr>
                <w:rFonts w:ascii="Times New Roman" w:hAnsi="Times New Roman" w:cs="Times New Roman"/>
              </w:rPr>
            </w:pPr>
            <w:r>
              <w:rPr>
                <w:rFonts w:ascii="Times New Roman" w:hAnsi="Times New Roman" w:cs="Times New Roman"/>
              </w:rPr>
              <w:t>Środki własne</w:t>
            </w:r>
          </w:p>
          <w:p w:rsidR="00DC75FA" w:rsidRDefault="00887D84">
            <w:pPr>
              <w:rPr>
                <w:rFonts w:ascii="Times New Roman" w:hAnsi="Times New Roman" w:cs="Times New Roman"/>
              </w:rPr>
            </w:pPr>
            <w:r>
              <w:rPr>
                <w:rFonts w:ascii="Times New Roman" w:hAnsi="Times New Roman" w:cs="Times New Roman"/>
              </w:rPr>
              <w:t>Środki krajowe</w:t>
            </w:r>
          </w:p>
        </w:tc>
      </w:tr>
    </w:tbl>
    <w:p w:rsidR="00DC75FA" w:rsidRDefault="00887D84">
      <w:pPr>
        <w:pStyle w:val="Legenda"/>
      </w:pPr>
      <w:r>
        <w:t>Źródło: Opracowanie własne na podstawie wyników warsztatów, badań ankietowych, danych gmin i konsultacji społecznych.</w:t>
      </w:r>
    </w:p>
    <w:p w:rsidR="00DC75FA" w:rsidRDefault="00887D84">
      <w:pPr>
        <w:pStyle w:val="Akapitzlist"/>
        <w:rPr>
          <w:rFonts w:ascii="Times New Roman" w:hAnsi="Times New Roman" w:cs="Times New Roman"/>
        </w:rPr>
      </w:pPr>
      <w:r>
        <w:br w:type="page"/>
      </w:r>
    </w:p>
    <w:p w:rsidR="00DC75FA" w:rsidRDefault="00887D84">
      <w:pPr>
        <w:pStyle w:val="Nagwek1"/>
        <w:numPr>
          <w:ilvl w:val="0"/>
          <w:numId w:val="7"/>
        </w:numPr>
        <w:rPr>
          <w:rFonts w:ascii="Times New Roman" w:hAnsi="Times New Roman" w:cs="Times New Roman"/>
        </w:rPr>
      </w:pPr>
      <w:bookmarkStart w:id="43" w:name="_Toc105754703"/>
      <w:r>
        <w:rPr>
          <w:rFonts w:ascii="Times New Roman" w:hAnsi="Times New Roman" w:cs="Times New Roman"/>
        </w:rPr>
        <w:lastRenderedPageBreak/>
        <w:t>Partycypacja społeczna w procesie opracowania Strategii</w:t>
      </w:r>
      <w:bookmarkEnd w:id="43"/>
    </w:p>
    <w:p w:rsidR="00DC75FA" w:rsidRDefault="00DC75FA">
      <w:pPr>
        <w:pStyle w:val="Akapitzlist"/>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Proces opracowania strategii realizowano z poszanowaniem celów, zasad i dobrych praktyk partycypacji społecznej zapewniając możliwość aktywnego uczestnictwa interesariuszy w procesie planistycznym, uzyskania szerszej reprezentacji i poparcia społecznego dla decyzji planistycznych, którego celem jest zmniejszenie dużej ilości występujących konfliktów przestrzennych lub społecznych.</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Istotą procesu partycypacji było poznanie opinii partnerów społecznych dotyczących barier, problemów i kierunków rozwoju obszaru Zielone Zagłębie oraz rekomendacji w zakresie przedsięwzięć, które mają być realizowane w ramach strategii. Kierowano się zasadą poszukiwania takich rozwiązań, które pomogą władzom publicznym podejmować decyzje w największym stopniu realizujące zasadę dobra wspólnego w danej społeczności.</w:t>
      </w:r>
    </w:p>
    <w:p w:rsidR="00DC75FA" w:rsidRDefault="00DC75FA">
      <w:pPr>
        <w:pStyle w:val="Bezodstpw"/>
        <w:spacing w:line="276" w:lineRule="auto"/>
        <w:jc w:val="both"/>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Już na etapie tworzenia założeń strategii ponadlokalnej przyjęto partycypacyjny model przygotowywania dokumentu. Pozwala to na wykorzystanie potencjału lokalnych ekspertów, wiedzy pracowników urzędów gmin, radnych i sołtysów oraz doświadczeń mieszkańców w określaniu silnych stron, budowaniu celów i przygotowaniu planów konkretnych działań na najbliższe lata. Daje to możliwość na połączenie dwóch zdawałoby się sprzecznych ze sobą potencjałów w jednym spójnym planie strategicznym – zagłębia węglowego kojarzonego w przemysłem uciążliwym dla środowiska oraz walorów przyrodniczych pojezierza – w Zielone Zagłębie. Lokalni aktorzy funkcjonując w tym obszarze na co dzień umożliwiają określenie wszystkich atutów związanych z gospodarką i przyrodą i pozwalają stworzyć plany na przyszłość z uwzględnieniem lokalnych i ponadlokalnych potrzeb. Daje to także szanse na akceptację przygotowanego dokumentu przez lokalne środowiska. W momencie prowadzenia konsultacji społecznych wymaganych przez ustawę podmioty wyrażające opinie czują się współautorem przedstawionych zapisów, a później w trakcie realizacji konkretnych projektów będą je wspierać. Zmniejsza to także ryzyko protestów społecznych, które mogłyby się pojawić w przyszłości oraz pozwala rozwiać obawy związane ze zmianami, a wynikające najczęściej z braku wiedzy o planowanych przedsięwzięciach. Działania były realizowane wielotorowo – prowadzono spotkania i warsztaty z wójtami i pracownikami urzędów gmin, zamieszczono ankiety w stronach internetowych poszczególnych JST, przeprowadzono spotkania konsultacyjne w mieszkańcami.</w:t>
      </w:r>
    </w:p>
    <w:p w:rsidR="00DC75FA" w:rsidRDefault="00DC75FA">
      <w:pPr>
        <w:pStyle w:val="Bezodstpw"/>
        <w:spacing w:line="276" w:lineRule="auto"/>
        <w:jc w:val="both"/>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Istotny wpływ na zakres działań partycypacyjnych w procesie opracowania niniejszej strategii miały rygory sanitarne wynikające z sytuacji epidemicznej COVID 19. Wprowadzone obostrzenia utrudniły podejmowanie działań zapewniających pełne zaangażowania wszystkich interesariuszy. Niemniej jednak dołożono starań aby stopień zaangażowania społecznego w proces opracowania strategii pozwolił na właściwe wypracowania założeń dokumentu, tj. zasad i obszarów współpracy samorządów, identyfikacja problemów, potencjałów oraz propozycji przedsięwzięć.</w:t>
      </w:r>
    </w:p>
    <w:p w:rsidR="00DC75FA" w:rsidRDefault="00DC75FA">
      <w:pPr>
        <w:pStyle w:val="Bezodstpw"/>
        <w:spacing w:line="276" w:lineRule="auto"/>
        <w:jc w:val="both"/>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Pierwsze spotkanie warsztatowe w Puchaczowie, na którym zgromadzono wszystkich przedstawicieli gmin zainteresowanych partnerstwem </w:t>
      </w:r>
      <w:proofErr w:type="spellStart"/>
      <w:r>
        <w:rPr>
          <w:rFonts w:ascii="Times New Roman" w:hAnsi="Times New Roman" w:cs="Times New Roman"/>
        </w:rPr>
        <w:t>ponadloklanym</w:t>
      </w:r>
      <w:proofErr w:type="spellEnd"/>
      <w:r>
        <w:rPr>
          <w:rFonts w:ascii="Times New Roman" w:hAnsi="Times New Roman" w:cs="Times New Roman"/>
        </w:rPr>
        <w:t xml:space="preserve"> odbyło się 18 sierpnia 2020 roku. Podczas warsztatów, w których uczestniczyli przedstawiciele władz samorządowych, urzędów gmin zapoznano uczestników z pakietem projektów rozporządzeń UE na lata 2021 – 2027, uwarunkowaniami i planami Komisji Europejskiej w zakresie wdrażania polityki spójności w przyszłej perspektywie finansowej, ze szczególnym uwzględnieniem terytorialnego wymiaru wsparcia.</w:t>
      </w:r>
    </w:p>
    <w:p w:rsidR="00DC75FA" w:rsidRDefault="00DC75FA">
      <w:pPr>
        <w:pStyle w:val="Bezodstpw"/>
        <w:spacing w:line="276" w:lineRule="auto"/>
        <w:jc w:val="both"/>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Przedstawiony został pakiet zagadnień dotyczących zmian w polityce rozwoju na poziomie krajowym:</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Krajowa Strategia Rozwoju Regionalnego 2030, Założenia do Umowy Partnerstwa 2021 – 2027, projekt nowelizowanej ustawy o zasadach prowadzenia polityki rozwoju (w tym nowelizacja ustawy </w:t>
      </w:r>
      <w:r>
        <w:rPr>
          <w:rFonts w:ascii="Times New Roman" w:hAnsi="Times New Roman" w:cs="Times New Roman"/>
        </w:rPr>
        <w:lastRenderedPageBreak/>
        <w:t>o samorządzie gminnym) oraz na poziomie regionalnym: Założenia aktualizacji Strategii Rozwoju Województwa Lubelskiego oraz Założenia Regionalnego Programu Operacyjnego Województwa Lubelskiego na lata 2021 – 2027.</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Omówione zostały kwestie dotyczące wymiaru terytorialnego polityki spójności (poziom KE) i terytorialnego podejścia do polityki rozwoju (poziom krajowy). Przedstawione zostały zasady, uwarunkowania i korzyści jakie niesie ze sobą realizacja projektów partnerskich oraz współpraca samorządów w kształtowaniu polityki rozwoju w ujęciu terytorialnym.</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Zaprezentowano dotychczasowe doświadczenia i możliwe scenariusze opracowania strategii ponadlokalnej, m.in. w kontekście obszarów strategicznej interwencji wyznaczonych na poziomie krajowym oraz przykłady przedsięwzięć partnerskich realizowanych wspólnie przez samorządy. </w:t>
      </w:r>
    </w:p>
    <w:p w:rsidR="00DC75FA" w:rsidRDefault="00DC75FA">
      <w:pPr>
        <w:pStyle w:val="Bezodstpw"/>
        <w:spacing w:line="276" w:lineRule="auto"/>
        <w:jc w:val="both"/>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W spotkaniu wzięli udział wójtowie i pracownicy merytoryczni ze wszystkich gmin partnerstwa. Wykorzystano ich wiedzę merytoryczną i dotychczasowe doświadczenie w przygotowywaniu planów strategicznych. W części warsztatowej, na podstawie dotychczasowych doświadczeń i możliwości jakie stwarza nowe podejście do polityki regionalnej, przeanalizowano korzyści i zagrożenia wynikające ze współpracy samorządów oraz określono zasady takiej współpracy. Wykorzystano metodę burzy mózgów, a następnie uporządkowano propozycje dotyczące SWOT obszaru oraz pomysły na przyszłe przedsięwzięcia. Uczestnicy wypracowali propozycje projektów możliwych do realizacji w ramach współpracy samorządów Obszaru Funkcjonalnego, które stały się podstawą do definiowania zakresu przedsięwzięć partnerskich i są zawarte w niniejszej strategii. Zebrano także plany projektów lokalnych w poszczególnych gminach, które są komplementarne z działaniami na poziomie ponadlokalnym.</w:t>
      </w:r>
    </w:p>
    <w:p w:rsidR="00DC75FA" w:rsidRDefault="00DC75FA">
      <w:pPr>
        <w:pStyle w:val="Bezodstpw"/>
        <w:spacing w:line="276" w:lineRule="auto"/>
        <w:jc w:val="both"/>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Na podstawie wyników warsztatów z 18 sierpnia 2020 roku oraz wniosków wynikających z diagnozy przygotowano wizję rozwoju obszaru funkcjonalnego, wstępne założenia dotyczące SWOT, możliwe kierunki rozwoju i cele priorytetowe, wstępna listę projektów, potencjalne źródła finansowania oraz proponowany schemat zarządzania strategią, które były następnie konsultowane podczas spotkań obywatelskich w grudniu 2020 roku. Z uwagi na wspomniany reżim sanitarny związany z COVID -19 proces partycypacji realizowany był przede wszystkim w formule warsztatów obywatelskich oraz badania ankietowego mieszkańców gmin Obszaru Zielonego Zagłębia.</w:t>
      </w:r>
    </w:p>
    <w:p w:rsidR="00DC75FA" w:rsidRDefault="00DC75FA">
      <w:pPr>
        <w:pStyle w:val="Bezodstpw"/>
        <w:spacing w:line="276" w:lineRule="auto"/>
        <w:jc w:val="both"/>
        <w:rPr>
          <w:rFonts w:ascii="Times New Roman" w:hAnsi="Times New Roman" w:cs="Times New Roman"/>
          <w:b/>
          <w:bCs/>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b/>
          <w:bCs/>
        </w:rPr>
        <w:t>Warsztaty,</w:t>
      </w:r>
      <w:r>
        <w:rPr>
          <w:rFonts w:ascii="Times New Roman" w:hAnsi="Times New Roman" w:cs="Times New Roman"/>
        </w:rPr>
        <w:t xml:space="preserve"> realizowane w oparciu o oddolne podejście w tworzeniu ponadlokalnej strategii rozwoju,</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odbyły się w następujących terminach: </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Cyców - spotkanie on-line, termin 9 grudnia godzina 11.00 </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Ludwin - spotkanie on-line, termin 10 grudnia godzina 14.00 </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Milejów - spotkanie on-line, termin 15 grudnia, godzina 10.00</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Urszulin - spotkanie on-line, termin 15 grudnia godzina 12.00</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Puchaczów - spotkanie on-line, termin 15 grudnia godzina 14.00</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Z uwagi na zagrożenie epidemiczne warsztaty przeprowadzone zostały w formie zdalnej za pośrednictwem platformy </w:t>
      </w:r>
      <w:proofErr w:type="spellStart"/>
      <w:r>
        <w:rPr>
          <w:rFonts w:ascii="Times New Roman" w:hAnsi="Times New Roman" w:cs="Times New Roman"/>
        </w:rPr>
        <w:t>GoogleMeet</w:t>
      </w:r>
      <w:proofErr w:type="spellEnd"/>
      <w:r>
        <w:rPr>
          <w:rFonts w:ascii="Times New Roman" w:hAnsi="Times New Roman" w:cs="Times New Roman"/>
        </w:rPr>
        <w:t>.</w:t>
      </w:r>
    </w:p>
    <w:p w:rsidR="00DC75FA" w:rsidRDefault="00DC75FA">
      <w:pPr>
        <w:pStyle w:val="Bezodstpw"/>
        <w:spacing w:line="276" w:lineRule="auto"/>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b/>
          <w:bCs/>
        </w:rPr>
        <w:t>Do udziału w spotkaniach online</w:t>
      </w:r>
      <w:r>
        <w:rPr>
          <w:rFonts w:ascii="Times New Roman" w:hAnsi="Times New Roman" w:cs="Times New Roman"/>
        </w:rPr>
        <w:t xml:space="preserve"> zaproszeni byli mieszkańcy, radni, sołtysi oraz pracownicy urzędów gmin i wójtowie. Uzupełnili oni listę proponowanych projektów do uwzględnienia w strategii, podczas dyskusji odnieśli się do przygotowanych wcześniej zagadnień, zgłosili swoje wnioski i uzupełnienia. Po spotkaniach sołtysi zgłosili gotowość przekazania wyników konsultacji w poszczególnych gminach szerszej grupie mieszkańców. Przygotowano dla nich skrócone wersje dokumentów prezentowanych na warsztatach online i zostały one przekazane uczestnikom spotkań wiejskich. W kolejnych tygodniach lista projektów była jeszcze uzupełniana za pośrednictwem poczty elektronicznej, propozycje zgłaszali zarówno pracownicy urzędów gmin jak i mieszkańcy.</w:t>
      </w:r>
    </w:p>
    <w:p w:rsidR="00DC75FA" w:rsidRDefault="00DC75FA">
      <w:pPr>
        <w:pStyle w:val="Bezodstpw"/>
        <w:spacing w:line="276" w:lineRule="auto"/>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b/>
          <w:bCs/>
        </w:rPr>
        <w:t xml:space="preserve">Badanie </w:t>
      </w:r>
      <w:r>
        <w:rPr>
          <w:rFonts w:ascii="Times New Roman" w:hAnsi="Times New Roman" w:cs="Times New Roman"/>
        </w:rPr>
        <w:t>przeprowadzone zostało w formie ankiety internetowej mającej na celu zdiagnozowanie obecnej sytuacji oraz problemów gmin partnerskich obszaru Zielone Zagłębie, a także wyznaczenie kierunków rozwoju obszaru do roku 2030.</w:t>
      </w:r>
    </w:p>
    <w:p w:rsidR="00DC75FA" w:rsidRDefault="00DC75FA">
      <w:pPr>
        <w:pStyle w:val="Bezodstpw"/>
        <w:spacing w:line="276" w:lineRule="auto"/>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W pierwszej części ankiety mieszkańcy mogli wypowiedzieć się na temat silnych i słabych stron (problemów), szans i zagrożeń swoich gmin. Propozycje wynikające z diagnozy oraz wcześniejszych spotkań obywatelskich i warsztatów zostały uszeregowane pod względem hierarchii ważności dla społeczności lokalnej. </w:t>
      </w:r>
    </w:p>
    <w:p w:rsidR="00DC75FA" w:rsidRDefault="00DC75FA">
      <w:pPr>
        <w:pStyle w:val="Bezodstpw"/>
        <w:spacing w:line="276" w:lineRule="auto"/>
        <w:jc w:val="both"/>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Wśród silnych stron respondenci najczęściej wskazywali:</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walory środowiska naturalnego</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tereny cenne przyrodniczo</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dobre skomunikowanie z resztą kraju</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potencjał rolniczy obszaru</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wolne tereny pod inwestycje</w:t>
      </w:r>
    </w:p>
    <w:p w:rsidR="00DC75FA" w:rsidRDefault="00DC75FA">
      <w:pPr>
        <w:pStyle w:val="Bezodstpw"/>
        <w:spacing w:line="276" w:lineRule="auto"/>
        <w:jc w:val="both"/>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Słabe strony wskazywane przez mieszkańców to najczęściej:</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brak turystycznej marki obszaru</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ograniczona oferta kulturalna</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brak miejsc pracy dla osób wykształconych</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niedostateczny dostęp do usług medycznych</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słaby poziom skanalizowania i zwodociągowania gmin</w:t>
      </w:r>
    </w:p>
    <w:p w:rsidR="00DC75FA" w:rsidRDefault="00DC75FA">
      <w:pPr>
        <w:pStyle w:val="Bezodstpw"/>
        <w:spacing w:line="276" w:lineRule="auto"/>
        <w:jc w:val="both"/>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Najczęściej wskazywane szanse to:</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wzrost zainteresowania potencjałem turystycznym</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zainteresowanie aktywnymi formami wypoczynku</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rosnąca świadomość ekologiczna</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zainteresowanie lokalnymi produktami</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modernizacja i specjalizacja rolnictwa</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 </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Zagrożenia, które były wskazywane najczęściej to:</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zanieczyszczone środowisko</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niska rentowność produkcji rolnej</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brak perspektyw dla rolnictwa</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trudności we współpracy międzysektorowej i ponadlokalnej</w:t>
      </w: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niekorzystne trendy demograficzne</w:t>
      </w:r>
    </w:p>
    <w:p w:rsidR="00DC75FA" w:rsidRDefault="00DC75FA">
      <w:pPr>
        <w:pStyle w:val="Bezodstpw"/>
        <w:spacing w:line="276" w:lineRule="auto"/>
        <w:rPr>
          <w:rFonts w:ascii="Times New Roman" w:hAnsi="Times New Roman" w:cs="Times New Roman"/>
        </w:rPr>
      </w:pPr>
    </w:p>
    <w:p w:rsidR="00DC75FA" w:rsidRDefault="00887D84">
      <w:pPr>
        <w:pStyle w:val="Bezodstpw"/>
        <w:spacing w:line="276" w:lineRule="auto"/>
        <w:jc w:val="both"/>
        <w:rPr>
          <w:rFonts w:ascii="Times New Roman" w:hAnsi="Times New Roman" w:cs="Times New Roman"/>
        </w:rPr>
      </w:pPr>
      <w:r>
        <w:rPr>
          <w:rFonts w:ascii="Times New Roman" w:hAnsi="Times New Roman" w:cs="Times New Roman"/>
        </w:rPr>
        <w:t xml:space="preserve">W drugiej części ankiety respondenci przedstawili oczekiwane efekty realizacji strategii ponadlokalnej oraz propozycje projektów „twardych” infrastrukturalnych oraz powiązanych z nimi „miękkich” </w:t>
      </w:r>
      <w:proofErr w:type="spellStart"/>
      <w:r>
        <w:rPr>
          <w:rFonts w:ascii="Times New Roman" w:hAnsi="Times New Roman" w:cs="Times New Roman"/>
        </w:rPr>
        <w:t>nieinwestycyjnych</w:t>
      </w:r>
      <w:proofErr w:type="spellEnd"/>
      <w:r>
        <w:rPr>
          <w:rFonts w:ascii="Times New Roman" w:hAnsi="Times New Roman" w:cs="Times New Roman"/>
        </w:rPr>
        <w:t>. Zostały one uwzględnione przy opracowywaniu niniejszego dokumentu.</w:t>
      </w:r>
    </w:p>
    <w:p w:rsidR="00DC75FA" w:rsidRDefault="00DC75FA">
      <w:pPr>
        <w:pStyle w:val="Bezodstpw"/>
        <w:spacing w:line="276" w:lineRule="auto"/>
        <w:jc w:val="both"/>
        <w:rPr>
          <w:rFonts w:ascii="Times New Roman" w:hAnsi="Times New Roman" w:cs="Times New Roman"/>
        </w:rPr>
      </w:pPr>
    </w:p>
    <w:p w:rsidR="00DC75FA" w:rsidRDefault="00DC75FA">
      <w:pPr>
        <w:pStyle w:val="Bezodstpw"/>
        <w:spacing w:line="276" w:lineRule="auto"/>
        <w:jc w:val="both"/>
        <w:rPr>
          <w:rFonts w:ascii="Times New Roman" w:hAnsi="Times New Roman" w:cs="Times New Roman"/>
        </w:rPr>
      </w:pPr>
    </w:p>
    <w:p w:rsidR="00DC75FA" w:rsidRDefault="00DC75FA">
      <w:pPr>
        <w:pStyle w:val="Bezodstpw"/>
        <w:spacing w:line="276" w:lineRule="auto"/>
        <w:jc w:val="both"/>
        <w:rPr>
          <w:rFonts w:ascii="Times New Roman" w:hAnsi="Times New Roman" w:cs="Times New Roman"/>
        </w:rPr>
      </w:pPr>
    </w:p>
    <w:p w:rsidR="00DC75FA" w:rsidRDefault="00DC75FA">
      <w:pPr>
        <w:pStyle w:val="Bezodstpw"/>
        <w:spacing w:line="276" w:lineRule="auto"/>
        <w:jc w:val="both"/>
        <w:rPr>
          <w:rFonts w:ascii="Times New Roman" w:hAnsi="Times New Roman" w:cs="Times New Roman"/>
        </w:rPr>
      </w:pPr>
    </w:p>
    <w:p w:rsidR="00DC75FA" w:rsidRDefault="00DC75FA">
      <w:pPr>
        <w:pStyle w:val="Bezodstpw"/>
        <w:spacing w:line="276" w:lineRule="auto"/>
        <w:jc w:val="both"/>
        <w:rPr>
          <w:rFonts w:ascii="Times New Roman" w:hAnsi="Times New Roman" w:cs="Times New Roman"/>
        </w:rPr>
      </w:pPr>
    </w:p>
    <w:p w:rsidR="00DC75FA" w:rsidRDefault="00DC75FA">
      <w:pPr>
        <w:pStyle w:val="Bezodstpw"/>
        <w:spacing w:line="276" w:lineRule="auto"/>
        <w:jc w:val="both"/>
        <w:rPr>
          <w:rFonts w:ascii="Times New Roman" w:hAnsi="Times New Roman" w:cs="Times New Roman"/>
        </w:rPr>
      </w:pPr>
    </w:p>
    <w:p w:rsidR="00DC75FA" w:rsidRDefault="00DC75FA">
      <w:pPr>
        <w:pStyle w:val="Bezodstpw"/>
        <w:spacing w:line="276" w:lineRule="auto"/>
        <w:jc w:val="both"/>
        <w:rPr>
          <w:rFonts w:ascii="Times New Roman" w:hAnsi="Times New Roman" w:cs="Times New Roman"/>
        </w:rPr>
      </w:pPr>
    </w:p>
    <w:p w:rsidR="00DC75FA" w:rsidRDefault="00887D84">
      <w:pPr>
        <w:pStyle w:val="Nagwek1"/>
        <w:numPr>
          <w:ilvl w:val="0"/>
          <w:numId w:val="7"/>
        </w:numPr>
      </w:pPr>
      <w:bookmarkStart w:id="44" w:name="_Toc105754704"/>
      <w:r>
        <w:lastRenderedPageBreak/>
        <w:t>Uzgodnienia treści dokumentu wynikające z ustaw</w:t>
      </w:r>
      <w:bookmarkEnd w:id="44"/>
    </w:p>
    <w:p w:rsidR="00DC75FA" w:rsidRDefault="00DC75FA">
      <w:pPr>
        <w:pStyle w:val="Bezodstpw"/>
        <w:spacing w:line="276" w:lineRule="auto"/>
        <w:jc w:val="both"/>
        <w:rPr>
          <w:rFonts w:ascii="Times New Roman" w:hAnsi="Times New Roman" w:cs="Times New Roman"/>
        </w:rPr>
      </w:pPr>
    </w:p>
    <w:p w:rsidR="00DC75FA" w:rsidRDefault="00887D84">
      <w:pPr>
        <w:spacing w:line="276" w:lineRule="auto"/>
        <w:jc w:val="both"/>
        <w:rPr>
          <w:rFonts w:ascii="Times New Roman" w:hAnsi="Times New Roman" w:cs="Times New Roman"/>
        </w:rPr>
      </w:pPr>
      <w:r>
        <w:rPr>
          <w:rFonts w:ascii="Times New Roman" w:hAnsi="Times New Roman" w:cs="Times New Roman"/>
        </w:rPr>
        <w:t>Zgodnie z zapisami Ustawy o samorządzie gminnym, Projekt strategii ponadlokalnej przedkładany jest  zarządowi województwa w celu wydania opinii dotyczącej sposobu uwzględnienia ustaleń i rekomendacji w zakresie kształtowania i prowadzenia polityki przestrzennej w województwie określonych w strategii rozwoju województwa.  Zarząd województwa wydaje opinię, o której mowa w ust. 2, w terminie 30 dni od dnia otrzymania projektu strategii rozwoju gminy. W przypadku braku opinii we wskazanym terminie uznaje się, że strategia rozwoju gminy jest spójna ze strategią rozwoju województwa.</w:t>
      </w:r>
    </w:p>
    <w:p w:rsidR="00DC75FA" w:rsidRDefault="00DC75FA">
      <w:pPr>
        <w:spacing w:line="276" w:lineRule="auto"/>
        <w:jc w:val="both"/>
        <w:rPr>
          <w:rFonts w:ascii="Times New Roman" w:hAnsi="Times New Roman" w:cs="Times New Roman"/>
        </w:rPr>
      </w:pPr>
    </w:p>
    <w:p w:rsidR="00DC75FA" w:rsidRDefault="00887D84">
      <w:pPr>
        <w:spacing w:line="276" w:lineRule="auto"/>
        <w:jc w:val="both"/>
        <w:rPr>
          <w:rFonts w:ascii="Times New Roman" w:hAnsi="Times New Roman" w:cs="Times New Roman"/>
        </w:rPr>
      </w:pPr>
      <w:r>
        <w:rPr>
          <w:rFonts w:ascii="Times New Roman" w:hAnsi="Times New Roman" w:cs="Times New Roman"/>
        </w:rPr>
        <w:t>Projekt Strategii został zaopiniowany pozytywnie przez Zarząd Województwa Lubelskiego uchwałą nr CCLXXXV/5050/2021 z dnia 3 sierpnia 2021 roku.</w:t>
      </w:r>
    </w:p>
    <w:p w:rsidR="00DC75FA" w:rsidRDefault="00887D84">
      <w:pPr>
        <w:spacing w:line="276" w:lineRule="auto"/>
        <w:jc w:val="both"/>
        <w:rPr>
          <w:rFonts w:ascii="Times New Roman" w:hAnsi="Times New Roman" w:cs="Times New Roman"/>
        </w:rPr>
      </w:pPr>
      <w:r>
        <w:rPr>
          <w:noProof/>
          <w:lang w:eastAsia="pl-PL"/>
        </w:rPr>
        <w:drawing>
          <wp:inline distT="0" distB="0" distL="0" distR="0">
            <wp:extent cx="5843905" cy="6114415"/>
            <wp:effectExtent l="0" t="0" r="0" b="0"/>
            <wp:docPr id="33"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2"/>
                    <pic:cNvPicPr>
                      <a:picLocks noChangeAspect="1" noChangeArrowheads="1"/>
                    </pic:cNvPicPr>
                  </pic:nvPicPr>
                  <pic:blipFill>
                    <a:blip r:embed="rId54"/>
                    <a:stretch>
                      <a:fillRect/>
                    </a:stretch>
                  </pic:blipFill>
                  <pic:spPr bwMode="auto">
                    <a:xfrm>
                      <a:off x="0" y="0"/>
                      <a:ext cx="5843905" cy="6114415"/>
                    </a:xfrm>
                    <a:prstGeom prst="rect">
                      <a:avLst/>
                    </a:prstGeom>
                  </pic:spPr>
                </pic:pic>
              </a:graphicData>
            </a:graphic>
          </wp:inline>
        </w:drawing>
      </w:r>
    </w:p>
    <w:p w:rsidR="00DC75FA" w:rsidRDefault="00DC75FA">
      <w:pPr>
        <w:spacing w:line="276" w:lineRule="auto"/>
        <w:jc w:val="both"/>
        <w:rPr>
          <w:rFonts w:ascii="Times New Roman" w:hAnsi="Times New Roman" w:cs="Times New Roman"/>
        </w:rPr>
      </w:pPr>
    </w:p>
    <w:p w:rsidR="00DC75FA" w:rsidRDefault="00887D84">
      <w:pPr>
        <w:spacing w:line="276" w:lineRule="auto"/>
        <w:jc w:val="both"/>
        <w:rPr>
          <w:rFonts w:ascii="Times New Roman" w:hAnsi="Times New Roman" w:cs="Times New Roman"/>
        </w:rPr>
      </w:pPr>
      <w:r>
        <w:rPr>
          <w:rFonts w:ascii="Times New Roman" w:hAnsi="Times New Roman" w:cs="Times New Roman"/>
        </w:rPr>
        <w:t>W oparciu o art. 54 ust. 1 ustawy o udostępnianiu informacji o środowisku i jego ochronie, udziale społeczeństwa w ochronie środowiska oraz o ocenach oddziaływania na środowisko  (</w:t>
      </w:r>
      <w:proofErr w:type="spellStart"/>
      <w:r>
        <w:rPr>
          <w:rFonts w:ascii="Times New Roman" w:hAnsi="Times New Roman" w:cs="Times New Roman"/>
        </w:rPr>
        <w:t>t.j</w:t>
      </w:r>
      <w:proofErr w:type="spellEnd"/>
      <w:r>
        <w:rPr>
          <w:rFonts w:ascii="Times New Roman" w:hAnsi="Times New Roman" w:cs="Times New Roman"/>
        </w:rPr>
        <w:t>. Dz. U. z 2022 r. poz. 1029) podmiot opracowujący Strategię ponadlokalną (lider porozumienia) zwraca się do Regionalnego Dyrektora Ochrony Środowiska i Gospodarki Wodnej oraz Państwowego Wojewódzkiego Inspektora Sanitarnego z wnioskiem o zaopiniowanie projektu dokumentu strategicznego wraz z prognozą oddziaływania na środowisko (w przypadku uprzedniego braku zgody na odstąpienie od przeprowadzenia prognozy opracowania na środowisko).</w:t>
      </w:r>
    </w:p>
    <w:p w:rsidR="00DC75FA" w:rsidRDefault="00887D84">
      <w:pPr>
        <w:spacing w:line="276" w:lineRule="auto"/>
        <w:jc w:val="both"/>
        <w:rPr>
          <w:rFonts w:ascii="Times New Roman" w:hAnsi="Times New Roman" w:cs="Times New Roman"/>
        </w:rPr>
      </w:pPr>
      <w:r>
        <w:rPr>
          <w:rFonts w:ascii="Times New Roman" w:hAnsi="Times New Roman" w:cs="Times New Roman"/>
        </w:rPr>
        <w:t>Przedmiotowe uzgodnienia zostały przesłane:</w:t>
      </w:r>
    </w:p>
    <w:p w:rsidR="00DC75FA" w:rsidRDefault="00887D84">
      <w:pPr>
        <w:spacing w:line="276" w:lineRule="auto"/>
        <w:jc w:val="both"/>
        <w:rPr>
          <w:rFonts w:ascii="Times New Roman" w:hAnsi="Times New Roman" w:cs="Times New Roman"/>
        </w:rPr>
      </w:pPr>
      <w:r>
        <w:rPr>
          <w:rFonts w:ascii="Times New Roman" w:hAnsi="Times New Roman" w:cs="Times New Roman"/>
        </w:rPr>
        <w:t xml:space="preserve">- 31 maja (pismo o numerze WOOŚ.410.78.2022.AŁ) </w:t>
      </w:r>
    </w:p>
    <w:p w:rsidR="00DC75FA" w:rsidRDefault="00887D84">
      <w:pPr>
        <w:spacing w:line="276" w:lineRule="auto"/>
        <w:jc w:val="center"/>
        <w:rPr>
          <w:rFonts w:ascii="Times New Roman" w:hAnsi="Times New Roman" w:cs="Times New Roman"/>
        </w:rPr>
      </w:pPr>
      <w:r>
        <w:rPr>
          <w:noProof/>
          <w:lang w:eastAsia="pl-PL"/>
        </w:rPr>
        <w:drawing>
          <wp:inline distT="0" distB="0" distL="0" distR="0">
            <wp:extent cx="3601720" cy="5677535"/>
            <wp:effectExtent l="0" t="0" r="0" b="0"/>
            <wp:docPr id="34"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3"/>
                    <pic:cNvPicPr>
                      <a:picLocks noChangeAspect="1" noChangeArrowheads="1"/>
                    </pic:cNvPicPr>
                  </pic:nvPicPr>
                  <pic:blipFill>
                    <a:blip r:embed="rId55"/>
                    <a:stretch>
                      <a:fillRect/>
                    </a:stretch>
                  </pic:blipFill>
                  <pic:spPr bwMode="auto">
                    <a:xfrm>
                      <a:off x="0" y="0"/>
                      <a:ext cx="3601720" cy="5677535"/>
                    </a:xfrm>
                    <a:prstGeom prst="rect">
                      <a:avLst/>
                    </a:prstGeom>
                  </pic:spPr>
                </pic:pic>
              </a:graphicData>
            </a:graphic>
          </wp:inline>
        </w:drawing>
      </w:r>
    </w:p>
    <w:p w:rsidR="00DC75FA" w:rsidRDefault="00DC75FA">
      <w:pPr>
        <w:spacing w:line="276" w:lineRule="auto"/>
        <w:jc w:val="center"/>
        <w:rPr>
          <w:rFonts w:ascii="Times New Roman" w:hAnsi="Times New Roman" w:cs="Times New Roman"/>
        </w:rPr>
      </w:pPr>
    </w:p>
    <w:p w:rsidR="00DC75FA" w:rsidRDefault="00DC75FA">
      <w:pPr>
        <w:spacing w:line="276" w:lineRule="auto"/>
        <w:jc w:val="center"/>
        <w:rPr>
          <w:rFonts w:ascii="Times New Roman" w:hAnsi="Times New Roman" w:cs="Times New Roman"/>
        </w:rPr>
      </w:pPr>
    </w:p>
    <w:p w:rsidR="00DC75FA" w:rsidRDefault="00DC75FA">
      <w:pPr>
        <w:spacing w:line="276" w:lineRule="auto"/>
        <w:jc w:val="center"/>
        <w:rPr>
          <w:rFonts w:ascii="Times New Roman" w:hAnsi="Times New Roman" w:cs="Times New Roman"/>
        </w:rPr>
      </w:pPr>
    </w:p>
    <w:p w:rsidR="00DC75FA" w:rsidRDefault="00DC75FA">
      <w:pPr>
        <w:spacing w:line="276" w:lineRule="auto"/>
        <w:jc w:val="center"/>
        <w:rPr>
          <w:rFonts w:ascii="Times New Roman" w:hAnsi="Times New Roman" w:cs="Times New Roman"/>
        </w:rPr>
      </w:pPr>
    </w:p>
    <w:p w:rsidR="00DC75FA" w:rsidRDefault="00887D84">
      <w:pPr>
        <w:spacing w:line="276" w:lineRule="auto"/>
        <w:jc w:val="center"/>
        <w:rPr>
          <w:rFonts w:ascii="Times New Roman" w:hAnsi="Times New Roman" w:cs="Times New Roman"/>
        </w:rPr>
      </w:pPr>
      <w:r>
        <w:rPr>
          <w:noProof/>
          <w:lang w:eastAsia="pl-PL"/>
        </w:rPr>
        <w:drawing>
          <wp:inline distT="0" distB="0" distL="0" distR="0">
            <wp:extent cx="5843905" cy="3888105"/>
            <wp:effectExtent l="0" t="0" r="0" b="0"/>
            <wp:docPr id="35"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4"/>
                    <pic:cNvPicPr>
                      <a:picLocks noChangeAspect="1" noChangeArrowheads="1"/>
                    </pic:cNvPicPr>
                  </pic:nvPicPr>
                  <pic:blipFill>
                    <a:blip r:embed="rId56"/>
                    <a:stretch>
                      <a:fillRect/>
                    </a:stretch>
                  </pic:blipFill>
                  <pic:spPr bwMode="auto">
                    <a:xfrm>
                      <a:off x="0" y="0"/>
                      <a:ext cx="5843905" cy="3888105"/>
                    </a:xfrm>
                    <a:prstGeom prst="rect">
                      <a:avLst/>
                    </a:prstGeom>
                  </pic:spPr>
                </pic:pic>
              </a:graphicData>
            </a:graphic>
          </wp:inline>
        </w:drawing>
      </w:r>
    </w:p>
    <w:p w:rsidR="00DC75FA" w:rsidRDefault="00887D84">
      <w:pPr>
        <w:spacing w:line="276" w:lineRule="auto"/>
        <w:jc w:val="center"/>
        <w:rPr>
          <w:rFonts w:ascii="Times New Roman" w:hAnsi="Times New Roman" w:cs="Times New Roman"/>
        </w:rPr>
      </w:pPr>
      <w:r>
        <w:rPr>
          <w:noProof/>
          <w:lang w:eastAsia="pl-PL"/>
        </w:rPr>
        <w:drawing>
          <wp:inline distT="0" distB="0" distL="0" distR="0">
            <wp:extent cx="5843905" cy="3800475"/>
            <wp:effectExtent l="0" t="0" r="0" b="0"/>
            <wp:docPr id="36"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5"/>
                    <pic:cNvPicPr>
                      <a:picLocks noChangeAspect="1" noChangeArrowheads="1"/>
                    </pic:cNvPicPr>
                  </pic:nvPicPr>
                  <pic:blipFill>
                    <a:blip r:embed="rId57"/>
                    <a:stretch>
                      <a:fillRect/>
                    </a:stretch>
                  </pic:blipFill>
                  <pic:spPr bwMode="auto">
                    <a:xfrm>
                      <a:off x="0" y="0"/>
                      <a:ext cx="5843905" cy="3800475"/>
                    </a:xfrm>
                    <a:prstGeom prst="rect">
                      <a:avLst/>
                    </a:prstGeom>
                  </pic:spPr>
                </pic:pic>
              </a:graphicData>
            </a:graphic>
          </wp:inline>
        </w:drawing>
      </w:r>
    </w:p>
    <w:p w:rsidR="00DC75FA" w:rsidRDefault="00DC75FA">
      <w:pPr>
        <w:spacing w:line="276" w:lineRule="auto"/>
        <w:jc w:val="center"/>
        <w:rPr>
          <w:rFonts w:ascii="Times New Roman" w:hAnsi="Times New Roman" w:cs="Times New Roman"/>
        </w:rPr>
      </w:pPr>
    </w:p>
    <w:p w:rsidR="00DC75FA" w:rsidRDefault="00DC75FA">
      <w:pPr>
        <w:spacing w:line="276" w:lineRule="auto"/>
        <w:rPr>
          <w:rFonts w:ascii="Times New Roman" w:hAnsi="Times New Roman" w:cs="Times New Roman"/>
        </w:rPr>
      </w:pPr>
    </w:p>
    <w:p w:rsidR="00DC75FA" w:rsidRDefault="00DC75FA">
      <w:pPr>
        <w:spacing w:line="276" w:lineRule="auto"/>
        <w:rPr>
          <w:rFonts w:ascii="Times New Roman" w:hAnsi="Times New Roman" w:cs="Times New Roman"/>
        </w:rPr>
      </w:pPr>
    </w:p>
    <w:p w:rsidR="00DC75FA" w:rsidRDefault="00887D84">
      <w:pPr>
        <w:spacing w:line="276" w:lineRule="auto"/>
        <w:rPr>
          <w:rFonts w:ascii="Times New Roman" w:hAnsi="Times New Roman" w:cs="Times New Roman"/>
        </w:rPr>
      </w:pPr>
      <w:r>
        <w:rPr>
          <w:rFonts w:ascii="Times New Roman" w:hAnsi="Times New Roman" w:cs="Times New Roman"/>
        </w:rPr>
        <w:t>- oraz 27 maja 2022 roku (pismo nr DNS-NZ.7016.68.2022)</w:t>
      </w:r>
    </w:p>
    <w:p w:rsidR="00DC75FA" w:rsidRDefault="00887D84">
      <w:pPr>
        <w:spacing w:line="276" w:lineRule="auto"/>
        <w:rPr>
          <w:rFonts w:ascii="Times New Roman" w:hAnsi="Times New Roman" w:cs="Times New Roman"/>
        </w:rPr>
      </w:pPr>
      <w:r>
        <w:rPr>
          <w:noProof/>
          <w:lang w:eastAsia="pl-PL"/>
        </w:rPr>
        <w:lastRenderedPageBreak/>
        <w:drawing>
          <wp:inline distT="0" distB="0" distL="0" distR="0">
            <wp:extent cx="5136515" cy="8507730"/>
            <wp:effectExtent l="0" t="0" r="0" b="0"/>
            <wp:docPr id="37"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6"/>
                    <pic:cNvPicPr>
                      <a:picLocks noChangeAspect="1" noChangeArrowheads="1"/>
                    </pic:cNvPicPr>
                  </pic:nvPicPr>
                  <pic:blipFill>
                    <a:blip r:embed="rId58"/>
                    <a:stretch>
                      <a:fillRect/>
                    </a:stretch>
                  </pic:blipFill>
                  <pic:spPr bwMode="auto">
                    <a:xfrm>
                      <a:off x="0" y="0"/>
                      <a:ext cx="5136515" cy="8507730"/>
                    </a:xfrm>
                    <a:prstGeom prst="rect">
                      <a:avLst/>
                    </a:prstGeom>
                  </pic:spPr>
                </pic:pic>
              </a:graphicData>
            </a:graphic>
          </wp:inline>
        </w:drawing>
      </w:r>
    </w:p>
    <w:p w:rsidR="00DC75FA" w:rsidRDefault="00887D84">
      <w:pPr>
        <w:spacing w:line="276" w:lineRule="auto"/>
        <w:rPr>
          <w:rFonts w:ascii="Times New Roman" w:hAnsi="Times New Roman" w:cs="Times New Roman"/>
        </w:rPr>
      </w:pPr>
      <w:r>
        <w:rPr>
          <w:noProof/>
          <w:lang w:eastAsia="pl-PL"/>
        </w:rPr>
        <w:lastRenderedPageBreak/>
        <w:drawing>
          <wp:inline distT="0" distB="0" distL="0" distR="0">
            <wp:extent cx="5017135" cy="5327650"/>
            <wp:effectExtent l="0" t="0" r="0" b="0"/>
            <wp:docPr id="38"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7"/>
                    <pic:cNvPicPr>
                      <a:picLocks noChangeAspect="1" noChangeArrowheads="1"/>
                    </pic:cNvPicPr>
                  </pic:nvPicPr>
                  <pic:blipFill>
                    <a:blip r:embed="rId59"/>
                    <a:stretch>
                      <a:fillRect/>
                    </a:stretch>
                  </pic:blipFill>
                  <pic:spPr bwMode="auto">
                    <a:xfrm>
                      <a:off x="0" y="0"/>
                      <a:ext cx="5017135" cy="5327650"/>
                    </a:xfrm>
                    <a:prstGeom prst="rect">
                      <a:avLst/>
                    </a:prstGeom>
                  </pic:spPr>
                </pic:pic>
              </a:graphicData>
            </a:graphic>
          </wp:inline>
        </w:drawing>
      </w:r>
    </w:p>
    <w:p w:rsidR="00DC75FA" w:rsidRDefault="00887D84">
      <w:pPr>
        <w:spacing w:line="276" w:lineRule="auto"/>
        <w:jc w:val="both"/>
        <w:rPr>
          <w:rFonts w:ascii="Times New Roman" w:hAnsi="Times New Roman" w:cs="Times New Roman"/>
        </w:rPr>
      </w:pPr>
      <w:r>
        <w:rPr>
          <w:rFonts w:ascii="Times New Roman" w:hAnsi="Times New Roman" w:cs="Times New Roman"/>
        </w:rPr>
        <w:t>Zgodnie z przepisami wynikającymi z art. 6 ust. 3 Ustawy o zasadach prowadzenia polityki rozwoju (</w:t>
      </w:r>
      <w:proofErr w:type="spellStart"/>
      <w:r>
        <w:rPr>
          <w:rFonts w:ascii="Times New Roman" w:hAnsi="Times New Roman" w:cs="Times New Roman"/>
        </w:rPr>
        <w:t>t.j.Dz</w:t>
      </w:r>
      <w:proofErr w:type="spellEnd"/>
      <w:r>
        <w:rPr>
          <w:rFonts w:ascii="Times New Roman" w:hAnsi="Times New Roman" w:cs="Times New Roman"/>
        </w:rPr>
        <w:t xml:space="preserve">. U. z 2021 </w:t>
      </w:r>
      <w:proofErr w:type="spellStart"/>
      <w:r>
        <w:rPr>
          <w:rFonts w:ascii="Times New Roman" w:hAnsi="Times New Roman" w:cs="Times New Roman"/>
        </w:rPr>
        <w:t>r.poz</w:t>
      </w:r>
      <w:proofErr w:type="spellEnd"/>
      <w:r>
        <w:rPr>
          <w:rFonts w:ascii="Times New Roman" w:hAnsi="Times New Roman" w:cs="Times New Roman"/>
        </w:rPr>
        <w:t>. 1057 z p-óźn.zm.) Projekt strategii rozwoju ponadlokalnego oraz strategii rozwoju gminy podlega konsultacjom w szczególności z: sąsiednimi gminami i ich związkami, lokalnymi partnerami społecznymi i gospodarczymi, mieszkańcami gmin – w przypadku strategii rozwoju ponadlokalnego albo gminy – w przypadku strategii rozwoju gminy, oraz z właściwym dyrektorem regionalnego zarządu gospodarki wodnej Państwowego Gospodarstwa Wodnego Wody Polskie. Przedmiotową opinię uzyskano 20 lipca 2021 roku (pismo LU.RZP.0700.4.2021.</w:t>
      </w:r>
    </w:p>
    <w:p w:rsidR="00DC75FA" w:rsidRDefault="00887D84">
      <w:pPr>
        <w:spacing w:line="276" w:lineRule="auto"/>
        <w:rPr>
          <w:rFonts w:ascii="Times New Roman" w:hAnsi="Times New Roman" w:cs="Times New Roman"/>
        </w:rPr>
      </w:pPr>
      <w:r>
        <w:rPr>
          <w:noProof/>
          <w:lang w:eastAsia="pl-PL"/>
        </w:rPr>
        <w:lastRenderedPageBreak/>
        <w:drawing>
          <wp:inline distT="0" distB="0" distL="0" distR="0">
            <wp:extent cx="5176520" cy="8102600"/>
            <wp:effectExtent l="0" t="0" r="0" b="0"/>
            <wp:docPr id="39"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8"/>
                    <pic:cNvPicPr>
                      <a:picLocks noChangeAspect="1" noChangeArrowheads="1"/>
                    </pic:cNvPicPr>
                  </pic:nvPicPr>
                  <pic:blipFill>
                    <a:blip r:embed="rId60"/>
                    <a:stretch>
                      <a:fillRect/>
                    </a:stretch>
                  </pic:blipFill>
                  <pic:spPr bwMode="auto">
                    <a:xfrm>
                      <a:off x="0" y="0"/>
                      <a:ext cx="5176520" cy="8102600"/>
                    </a:xfrm>
                    <a:prstGeom prst="rect">
                      <a:avLst/>
                    </a:prstGeom>
                  </pic:spPr>
                </pic:pic>
              </a:graphicData>
            </a:graphic>
          </wp:inline>
        </w:drawing>
      </w:r>
    </w:p>
    <w:p w:rsidR="00DC75FA" w:rsidRDefault="00DC75FA">
      <w:pPr>
        <w:spacing w:line="276" w:lineRule="auto"/>
        <w:rPr>
          <w:rFonts w:ascii="Times New Roman" w:hAnsi="Times New Roman" w:cs="Times New Roman"/>
        </w:rPr>
      </w:pPr>
    </w:p>
    <w:p w:rsidR="00DC75FA" w:rsidRDefault="00DC75FA">
      <w:pPr>
        <w:rPr>
          <w:rFonts w:ascii="Times New Roman" w:hAnsi="Times New Roman" w:cs="Times New Roman"/>
        </w:rPr>
      </w:pPr>
    </w:p>
    <w:p w:rsidR="00DC75FA" w:rsidRDefault="00887D84">
      <w:pPr>
        <w:pStyle w:val="Nagwek2"/>
      </w:pPr>
      <w:bookmarkStart w:id="45" w:name="_Toc105754705"/>
      <w:r>
        <w:rPr>
          <w:rFonts w:ascii="Times New Roman" w:hAnsi="Times New Roman" w:cs="Times New Roman"/>
        </w:rPr>
        <w:lastRenderedPageBreak/>
        <w:t>Spis map</w:t>
      </w:r>
      <w:bookmarkEnd w:id="45"/>
    </w:p>
    <w:p w:rsidR="00DC75FA" w:rsidRDefault="00887D84">
      <w:pPr>
        <w:pStyle w:val="Spisilustracji"/>
        <w:tabs>
          <w:tab w:val="right" w:leader="dot" w:pos="9203"/>
        </w:tabs>
        <w:rPr>
          <w:rFonts w:eastAsiaTheme="minorEastAsia"/>
          <w:lang w:eastAsia="pl-PL"/>
        </w:rPr>
      </w:pPr>
      <w:r>
        <w:fldChar w:fldCharType="begin"/>
      </w:r>
      <w:r>
        <w:rPr>
          <w:rStyle w:val="czeindeksu"/>
          <w:rFonts w:ascii="Times New Roman" w:hAnsi="Times New Roman" w:cs="Times New Roman"/>
        </w:rPr>
        <w:instrText>TOC \c "Mapa"</w:instrText>
      </w:r>
      <w:r>
        <w:rPr>
          <w:rStyle w:val="czeindeksu"/>
        </w:rPr>
        <w:fldChar w:fldCharType="separate"/>
      </w:r>
      <w:hyperlink w:anchor="_Toc75877420">
        <w:r>
          <w:rPr>
            <w:rStyle w:val="czeindeksu"/>
            <w:rFonts w:ascii="Times New Roman" w:hAnsi="Times New Roman" w:cs="Times New Roman"/>
          </w:rPr>
          <w:t>Mapa 1: Mapa obszaru funkcjonalnego</w:t>
        </w:r>
        <w:r>
          <w:rPr>
            <w:webHidden/>
          </w:rPr>
          <w:fldChar w:fldCharType="begin"/>
        </w:r>
        <w:r>
          <w:rPr>
            <w:webHidden/>
          </w:rPr>
          <w:instrText>PAGEREF _Toc75877420 \h</w:instrText>
        </w:r>
        <w:r>
          <w:rPr>
            <w:webHidden/>
          </w:rPr>
        </w:r>
        <w:r>
          <w:rPr>
            <w:webHidden/>
          </w:rPr>
          <w:fldChar w:fldCharType="separate"/>
        </w:r>
        <w:r>
          <w:rPr>
            <w:rStyle w:val="czeindeksu"/>
          </w:rPr>
          <w:tab/>
          <w:t>10</w:t>
        </w:r>
        <w:r>
          <w:rPr>
            <w:webHidden/>
          </w:rPr>
          <w:fldChar w:fldCharType="end"/>
        </w:r>
      </w:hyperlink>
    </w:p>
    <w:p w:rsidR="00DC75FA" w:rsidRDefault="00A47575">
      <w:pPr>
        <w:pStyle w:val="Spisilustracji"/>
        <w:tabs>
          <w:tab w:val="right" w:leader="dot" w:pos="9203"/>
        </w:tabs>
        <w:rPr>
          <w:rFonts w:eastAsiaTheme="minorEastAsia"/>
          <w:lang w:eastAsia="pl-PL"/>
        </w:rPr>
      </w:pPr>
      <w:hyperlink w:anchor="_Toc75877421">
        <w:r w:rsidR="00887D84">
          <w:rPr>
            <w:rStyle w:val="czeindeksu"/>
            <w:rFonts w:ascii="Times New Roman" w:hAnsi="Times New Roman" w:cs="Times New Roman"/>
          </w:rPr>
          <w:t>Mapa 2 Struktura funkcjonalno-przestrzenna województwa lubelskiego</w:t>
        </w:r>
        <w:r w:rsidR="00887D84">
          <w:rPr>
            <w:webHidden/>
          </w:rPr>
          <w:fldChar w:fldCharType="begin"/>
        </w:r>
        <w:r w:rsidR="00887D84">
          <w:rPr>
            <w:webHidden/>
          </w:rPr>
          <w:instrText>PAGEREF _Toc75877421 \h</w:instrText>
        </w:r>
        <w:r w:rsidR="00887D84">
          <w:rPr>
            <w:webHidden/>
          </w:rPr>
        </w:r>
        <w:r w:rsidR="00887D84">
          <w:rPr>
            <w:webHidden/>
          </w:rPr>
          <w:fldChar w:fldCharType="separate"/>
        </w:r>
        <w:r w:rsidR="00887D84">
          <w:rPr>
            <w:rStyle w:val="czeindeksu"/>
          </w:rPr>
          <w:tab/>
          <w:t>28</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75877422">
        <w:r w:rsidR="00887D84">
          <w:rPr>
            <w:rStyle w:val="czeindeksu"/>
            <w:rFonts w:ascii="Times New Roman" w:hAnsi="Times New Roman" w:cs="Times New Roman"/>
          </w:rPr>
          <w:t>Mapa 3 Położenie gmin Zielonego Zagłębia względem wyznaczonych w Strategii Rozwoju Województwa obszarów zagrożonych trwałą marginalizacją i OSI Polesie</w:t>
        </w:r>
        <w:r w:rsidR="00887D84">
          <w:rPr>
            <w:webHidden/>
          </w:rPr>
          <w:fldChar w:fldCharType="begin"/>
        </w:r>
        <w:r w:rsidR="00887D84">
          <w:rPr>
            <w:webHidden/>
          </w:rPr>
          <w:instrText>PAGEREF _Toc75877422 \h</w:instrText>
        </w:r>
        <w:r w:rsidR="00887D84">
          <w:rPr>
            <w:webHidden/>
          </w:rPr>
        </w:r>
        <w:r w:rsidR="00887D84">
          <w:rPr>
            <w:webHidden/>
          </w:rPr>
          <w:fldChar w:fldCharType="separate"/>
        </w:r>
        <w:r w:rsidR="00887D84">
          <w:rPr>
            <w:rStyle w:val="czeindeksu"/>
          </w:rPr>
          <w:tab/>
          <w:t>29</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75877423">
        <w:r w:rsidR="00887D84">
          <w:rPr>
            <w:rStyle w:val="czeindeksu"/>
            <w:rFonts w:ascii="Times New Roman" w:hAnsi="Times New Roman" w:cs="Times New Roman"/>
          </w:rPr>
          <w:t>Mapa 4: Elementy i strefy wzmacniania i rozwoju funkcji społeczno-gospodarczych</w:t>
        </w:r>
        <w:r w:rsidR="00887D84">
          <w:rPr>
            <w:webHidden/>
          </w:rPr>
          <w:fldChar w:fldCharType="begin"/>
        </w:r>
        <w:r w:rsidR="00887D84">
          <w:rPr>
            <w:webHidden/>
          </w:rPr>
          <w:instrText>PAGEREF _Toc75877423 \h</w:instrText>
        </w:r>
        <w:r w:rsidR="00887D84">
          <w:rPr>
            <w:webHidden/>
          </w:rPr>
        </w:r>
        <w:r w:rsidR="00887D84">
          <w:rPr>
            <w:webHidden/>
          </w:rPr>
          <w:fldChar w:fldCharType="separate"/>
        </w:r>
        <w:r w:rsidR="00887D84">
          <w:rPr>
            <w:rStyle w:val="czeindeksu"/>
          </w:rPr>
          <w:tab/>
          <w:t>30</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75877424">
        <w:r w:rsidR="00887D84">
          <w:rPr>
            <w:rStyle w:val="czeindeksu"/>
            <w:rFonts w:ascii="Times New Roman" w:hAnsi="Times New Roman" w:cs="Times New Roman"/>
          </w:rPr>
          <w:t>Mapa 5: Elementy i strefy o wiodącej funkcji przyrodniczej i ochronnej</w:t>
        </w:r>
        <w:r w:rsidR="00887D84">
          <w:rPr>
            <w:webHidden/>
          </w:rPr>
          <w:fldChar w:fldCharType="begin"/>
        </w:r>
        <w:r w:rsidR="00887D84">
          <w:rPr>
            <w:webHidden/>
          </w:rPr>
          <w:instrText>PAGEREF _Toc75877424 \h</w:instrText>
        </w:r>
        <w:r w:rsidR="00887D84">
          <w:rPr>
            <w:webHidden/>
          </w:rPr>
        </w:r>
        <w:r w:rsidR="00887D84">
          <w:rPr>
            <w:webHidden/>
          </w:rPr>
          <w:fldChar w:fldCharType="separate"/>
        </w:r>
        <w:r w:rsidR="00887D84">
          <w:rPr>
            <w:rStyle w:val="czeindeksu"/>
          </w:rPr>
          <w:tab/>
          <w:t>31</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75877425">
        <w:r w:rsidR="00887D84">
          <w:rPr>
            <w:rStyle w:val="czeindeksu"/>
            <w:rFonts w:ascii="Times New Roman" w:hAnsi="Times New Roman" w:cs="Times New Roman"/>
          </w:rPr>
          <w:t>Mapa 6: Elementy kształtujące sieć transportową.</w:t>
        </w:r>
        <w:r w:rsidR="00887D84">
          <w:rPr>
            <w:webHidden/>
          </w:rPr>
          <w:fldChar w:fldCharType="begin"/>
        </w:r>
        <w:r w:rsidR="00887D84">
          <w:rPr>
            <w:webHidden/>
          </w:rPr>
          <w:instrText>PAGEREF _Toc75877425 \h</w:instrText>
        </w:r>
        <w:r w:rsidR="00887D84">
          <w:rPr>
            <w:webHidden/>
          </w:rPr>
        </w:r>
        <w:r w:rsidR="00887D84">
          <w:rPr>
            <w:webHidden/>
          </w:rPr>
          <w:fldChar w:fldCharType="separate"/>
        </w:r>
        <w:r w:rsidR="00887D84">
          <w:rPr>
            <w:rStyle w:val="czeindeksu"/>
          </w:rPr>
          <w:tab/>
          <w:t>32</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75877426">
        <w:r w:rsidR="00887D84">
          <w:rPr>
            <w:rStyle w:val="czeindeksu"/>
            <w:rFonts w:ascii="Times New Roman" w:hAnsi="Times New Roman" w:cs="Times New Roman"/>
          </w:rPr>
          <w:t>Mapa 7: Strefa rolnicza przestrzeni produkcyjnej.</w:t>
        </w:r>
        <w:r w:rsidR="00887D84">
          <w:rPr>
            <w:webHidden/>
          </w:rPr>
          <w:fldChar w:fldCharType="begin"/>
        </w:r>
        <w:r w:rsidR="00887D84">
          <w:rPr>
            <w:webHidden/>
          </w:rPr>
          <w:instrText>PAGEREF _Toc75877426 \h</w:instrText>
        </w:r>
        <w:r w:rsidR="00887D84">
          <w:rPr>
            <w:webHidden/>
          </w:rPr>
        </w:r>
        <w:r w:rsidR="00887D84">
          <w:rPr>
            <w:webHidden/>
          </w:rPr>
          <w:fldChar w:fldCharType="separate"/>
        </w:r>
        <w:r w:rsidR="00887D84">
          <w:rPr>
            <w:rStyle w:val="czeindeksu"/>
          </w:rPr>
          <w:tab/>
          <w:t>32</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75877427">
        <w:r w:rsidR="00887D84">
          <w:rPr>
            <w:rStyle w:val="czeindeksu"/>
            <w:rFonts w:ascii="Times New Roman" w:hAnsi="Times New Roman" w:cs="Times New Roman"/>
          </w:rPr>
          <w:t>Mapa 8 Miejskie obszary funkcjonalne w województwie lubelskim, OSI Polesie i obszar Terytorialnego Planu Sprawiedliwej Transformacji</w:t>
        </w:r>
        <w:r w:rsidR="00887D84">
          <w:rPr>
            <w:webHidden/>
          </w:rPr>
          <w:fldChar w:fldCharType="begin"/>
        </w:r>
        <w:r w:rsidR="00887D84">
          <w:rPr>
            <w:webHidden/>
          </w:rPr>
          <w:instrText>PAGEREF _Toc75877427 \h</w:instrText>
        </w:r>
        <w:r w:rsidR="00887D84">
          <w:rPr>
            <w:webHidden/>
          </w:rPr>
        </w:r>
        <w:r w:rsidR="00887D84">
          <w:rPr>
            <w:webHidden/>
          </w:rPr>
          <w:fldChar w:fldCharType="separate"/>
        </w:r>
        <w:r w:rsidR="00887D84">
          <w:rPr>
            <w:rStyle w:val="czeindeksu"/>
          </w:rPr>
          <w:tab/>
          <w:t>37</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75877428">
        <w:r w:rsidR="00887D84">
          <w:rPr>
            <w:rStyle w:val="czeindeksu"/>
            <w:rFonts w:ascii="Times New Roman" w:hAnsi="Times New Roman" w:cs="Times New Roman"/>
          </w:rPr>
          <w:t>Mapa 9 Struktura przestrzenna realizacji głównych celów rozwojowych względem wskazania terenów realizacji projektów inwestycyjnych</w:t>
        </w:r>
        <w:r w:rsidR="00887D84">
          <w:rPr>
            <w:webHidden/>
          </w:rPr>
          <w:fldChar w:fldCharType="begin"/>
        </w:r>
        <w:r w:rsidR="00887D84">
          <w:rPr>
            <w:webHidden/>
          </w:rPr>
          <w:instrText>PAGEREF _Toc75877428 \h</w:instrText>
        </w:r>
        <w:r w:rsidR="00887D84">
          <w:rPr>
            <w:webHidden/>
          </w:rPr>
        </w:r>
        <w:r w:rsidR="00887D84">
          <w:rPr>
            <w:webHidden/>
          </w:rPr>
          <w:fldChar w:fldCharType="separate"/>
        </w:r>
        <w:r w:rsidR="00887D84">
          <w:rPr>
            <w:rStyle w:val="czeindeksu"/>
          </w:rPr>
          <w:tab/>
          <w:t>41</w:t>
        </w:r>
        <w:r w:rsidR="00887D84">
          <w:rPr>
            <w:webHidden/>
          </w:rPr>
          <w:fldChar w:fldCharType="end"/>
        </w:r>
      </w:hyperlink>
    </w:p>
    <w:p w:rsidR="00DC75FA" w:rsidRDefault="00887D84">
      <w:pPr>
        <w:rPr>
          <w:rFonts w:ascii="Times New Roman" w:hAnsi="Times New Roman" w:cs="Times New Roman"/>
        </w:rPr>
      </w:pPr>
      <w:r>
        <w:rPr>
          <w:rFonts w:ascii="Times New Roman" w:hAnsi="Times New Roman" w:cs="Times New Roman"/>
        </w:rPr>
        <w:fldChar w:fldCharType="end"/>
      </w:r>
    </w:p>
    <w:p w:rsidR="00DC75FA" w:rsidRDefault="00887D84">
      <w:pPr>
        <w:pStyle w:val="Nagwek2"/>
      </w:pPr>
      <w:bookmarkStart w:id="46" w:name="_Toc105754706"/>
      <w:r>
        <w:rPr>
          <w:rFonts w:ascii="Times New Roman" w:hAnsi="Times New Roman" w:cs="Times New Roman"/>
        </w:rPr>
        <w:t>Spis tabel</w:t>
      </w:r>
      <w:bookmarkEnd w:id="46"/>
    </w:p>
    <w:p w:rsidR="00DC75FA" w:rsidRDefault="00887D84">
      <w:pPr>
        <w:pStyle w:val="Spisilustracji"/>
        <w:tabs>
          <w:tab w:val="right" w:leader="dot" w:pos="9203"/>
        </w:tabs>
        <w:rPr>
          <w:rFonts w:eastAsiaTheme="minorEastAsia"/>
          <w:lang w:eastAsia="pl-PL"/>
        </w:rPr>
      </w:pPr>
      <w:r>
        <w:fldChar w:fldCharType="begin"/>
      </w:r>
      <w:r>
        <w:rPr>
          <w:rStyle w:val="czeindeksu"/>
          <w:rFonts w:ascii="Times New Roman" w:hAnsi="Times New Roman" w:cs="Times New Roman"/>
        </w:rPr>
        <w:instrText>TOC \c "Tabela"</w:instrText>
      </w:r>
      <w:r>
        <w:rPr>
          <w:rStyle w:val="czeindeksu"/>
        </w:rPr>
        <w:fldChar w:fldCharType="separate"/>
      </w:r>
      <w:hyperlink w:anchor="_Toc75897197">
        <w:r>
          <w:rPr>
            <w:rStyle w:val="czeindeksu"/>
            <w:rFonts w:ascii="Times New Roman" w:hAnsi="Times New Roman" w:cs="Times New Roman"/>
          </w:rPr>
          <w:t>Tabela 1 Wybrane jeziora i torfowiska z obszaru współpracy ponadlokalnej Zielone Zagłębie</w:t>
        </w:r>
        <w:r>
          <w:rPr>
            <w:webHidden/>
          </w:rPr>
          <w:fldChar w:fldCharType="begin"/>
        </w:r>
        <w:r>
          <w:rPr>
            <w:webHidden/>
          </w:rPr>
          <w:instrText>PAGEREF _Toc75897197 \h</w:instrText>
        </w:r>
        <w:r>
          <w:rPr>
            <w:webHidden/>
          </w:rPr>
        </w:r>
        <w:r>
          <w:rPr>
            <w:webHidden/>
          </w:rPr>
          <w:fldChar w:fldCharType="separate"/>
        </w:r>
        <w:r>
          <w:rPr>
            <w:rStyle w:val="czeindeksu"/>
          </w:rPr>
          <w:tab/>
          <w:t>12</w:t>
        </w:r>
        <w:r>
          <w:rPr>
            <w:webHidden/>
          </w:rPr>
          <w:fldChar w:fldCharType="end"/>
        </w:r>
      </w:hyperlink>
    </w:p>
    <w:p w:rsidR="00DC75FA" w:rsidRDefault="00A47575">
      <w:pPr>
        <w:pStyle w:val="Spisilustracji"/>
        <w:tabs>
          <w:tab w:val="right" w:leader="dot" w:pos="9203"/>
        </w:tabs>
        <w:rPr>
          <w:rFonts w:eastAsiaTheme="minorEastAsia"/>
          <w:lang w:eastAsia="pl-PL"/>
        </w:rPr>
      </w:pPr>
      <w:hyperlink w:anchor="_Toc75897198">
        <w:r w:rsidR="00887D84">
          <w:rPr>
            <w:rStyle w:val="czeindeksu"/>
            <w:rFonts w:ascii="Times New Roman" w:hAnsi="Times New Roman" w:cs="Times New Roman"/>
          </w:rPr>
          <w:t>Tabela 2 Beneficjenci środowiskowej pomocy społecznej - wskaźniki</w:t>
        </w:r>
        <w:r w:rsidR="00887D84">
          <w:rPr>
            <w:webHidden/>
          </w:rPr>
          <w:fldChar w:fldCharType="begin"/>
        </w:r>
        <w:r w:rsidR="00887D84">
          <w:rPr>
            <w:webHidden/>
          </w:rPr>
          <w:instrText>PAGEREF _Toc75897198 \h</w:instrText>
        </w:r>
        <w:r w:rsidR="00887D84">
          <w:rPr>
            <w:webHidden/>
          </w:rPr>
        </w:r>
        <w:r w:rsidR="00887D84">
          <w:rPr>
            <w:webHidden/>
          </w:rPr>
          <w:fldChar w:fldCharType="separate"/>
        </w:r>
        <w:r w:rsidR="00887D84">
          <w:rPr>
            <w:rStyle w:val="czeindeksu"/>
          </w:rPr>
          <w:tab/>
          <w:t>15</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75897199">
        <w:r w:rsidR="00887D84">
          <w:rPr>
            <w:rStyle w:val="czeindeksu"/>
            <w:rFonts w:ascii="Times New Roman" w:hAnsi="Times New Roman" w:cs="Times New Roman"/>
          </w:rPr>
          <w:t>Tabela 3 Wskaźniki monitorowania Strategii</w:t>
        </w:r>
        <w:r w:rsidR="00887D84">
          <w:rPr>
            <w:webHidden/>
          </w:rPr>
          <w:fldChar w:fldCharType="begin"/>
        </w:r>
        <w:r w:rsidR="00887D84">
          <w:rPr>
            <w:webHidden/>
          </w:rPr>
          <w:instrText>PAGEREF _Toc75897199 \h</w:instrText>
        </w:r>
        <w:r w:rsidR="00887D84">
          <w:rPr>
            <w:webHidden/>
          </w:rPr>
        </w:r>
        <w:r w:rsidR="00887D84">
          <w:rPr>
            <w:webHidden/>
          </w:rPr>
          <w:fldChar w:fldCharType="separate"/>
        </w:r>
        <w:r w:rsidR="00887D84">
          <w:rPr>
            <w:rStyle w:val="czeindeksu"/>
          </w:rPr>
          <w:tab/>
          <w:t>46</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75897200">
        <w:r w:rsidR="00887D84">
          <w:rPr>
            <w:rStyle w:val="czeindeksu"/>
            <w:rFonts w:ascii="Times New Roman" w:hAnsi="Times New Roman" w:cs="Times New Roman"/>
          </w:rPr>
          <w:t>Tabela 4 Źródła finansowania przedsięwzięć na podstawie projektów programów operacyjnych w perspektywie finansowej 2021-2027</w:t>
        </w:r>
        <w:r w:rsidR="00887D84">
          <w:rPr>
            <w:webHidden/>
          </w:rPr>
          <w:fldChar w:fldCharType="begin"/>
        </w:r>
        <w:r w:rsidR="00887D84">
          <w:rPr>
            <w:webHidden/>
          </w:rPr>
          <w:instrText>PAGEREF _Toc75897200 \h</w:instrText>
        </w:r>
        <w:r w:rsidR="00887D84">
          <w:rPr>
            <w:webHidden/>
          </w:rPr>
        </w:r>
        <w:r w:rsidR="00887D84">
          <w:rPr>
            <w:webHidden/>
          </w:rPr>
          <w:fldChar w:fldCharType="separate"/>
        </w:r>
        <w:r w:rsidR="00887D84">
          <w:rPr>
            <w:rStyle w:val="czeindeksu"/>
          </w:rPr>
          <w:tab/>
          <w:t>50</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75897201">
        <w:r w:rsidR="00887D84">
          <w:rPr>
            <w:rStyle w:val="czeindeksu"/>
            <w:rFonts w:ascii="Times New Roman" w:hAnsi="Times New Roman" w:cs="Times New Roman"/>
          </w:rPr>
          <w:t>Tabela 5 Indykatywna tabela finansowa oraz źródła finansowania</w:t>
        </w:r>
        <w:r w:rsidR="00887D84">
          <w:rPr>
            <w:webHidden/>
          </w:rPr>
          <w:fldChar w:fldCharType="begin"/>
        </w:r>
        <w:r w:rsidR="00887D84">
          <w:rPr>
            <w:webHidden/>
          </w:rPr>
          <w:instrText>PAGEREF _Toc75897201 \h</w:instrText>
        </w:r>
        <w:r w:rsidR="00887D84">
          <w:rPr>
            <w:webHidden/>
          </w:rPr>
        </w:r>
        <w:r w:rsidR="00887D84">
          <w:rPr>
            <w:webHidden/>
          </w:rPr>
          <w:fldChar w:fldCharType="separate"/>
        </w:r>
        <w:r w:rsidR="00887D84">
          <w:rPr>
            <w:rStyle w:val="czeindeksu"/>
          </w:rPr>
          <w:tab/>
          <w:t>55</w:t>
        </w:r>
        <w:r w:rsidR="00887D84">
          <w:rPr>
            <w:webHidden/>
          </w:rPr>
          <w:fldChar w:fldCharType="end"/>
        </w:r>
      </w:hyperlink>
    </w:p>
    <w:p w:rsidR="00DC75FA" w:rsidRDefault="00887D84">
      <w:pPr>
        <w:rPr>
          <w:rFonts w:ascii="Times New Roman" w:hAnsi="Times New Roman" w:cs="Times New Roman"/>
        </w:rPr>
      </w:pPr>
      <w:r>
        <w:rPr>
          <w:rFonts w:ascii="Times New Roman" w:hAnsi="Times New Roman" w:cs="Times New Roman"/>
        </w:rPr>
        <w:fldChar w:fldCharType="end"/>
      </w:r>
    </w:p>
    <w:p w:rsidR="00DC75FA" w:rsidRDefault="00887D84">
      <w:pPr>
        <w:pStyle w:val="Nagwek2"/>
      </w:pPr>
      <w:bookmarkStart w:id="47" w:name="_Toc105754707"/>
      <w:r>
        <w:rPr>
          <w:rFonts w:ascii="Times New Roman" w:hAnsi="Times New Roman" w:cs="Times New Roman"/>
        </w:rPr>
        <w:t>Spis wykresów</w:t>
      </w:r>
      <w:bookmarkEnd w:id="47"/>
    </w:p>
    <w:p w:rsidR="00DC75FA" w:rsidRDefault="00887D84">
      <w:pPr>
        <w:pStyle w:val="Spisilustracji"/>
        <w:tabs>
          <w:tab w:val="right" w:leader="dot" w:pos="9203"/>
        </w:tabs>
        <w:rPr>
          <w:rFonts w:eastAsiaTheme="minorEastAsia"/>
          <w:lang w:eastAsia="pl-PL"/>
        </w:rPr>
      </w:pPr>
      <w:r>
        <w:fldChar w:fldCharType="begin"/>
      </w:r>
      <w:r>
        <w:rPr>
          <w:rStyle w:val="czeindeksu"/>
          <w:rFonts w:ascii="Times New Roman" w:hAnsi="Times New Roman" w:cs="Times New Roman"/>
        </w:rPr>
        <w:instrText>TOC \c "Wykres"</w:instrText>
      </w:r>
      <w:r>
        <w:rPr>
          <w:rStyle w:val="czeindeksu"/>
        </w:rPr>
        <w:fldChar w:fldCharType="separate"/>
      </w:r>
      <w:hyperlink w:anchor="_Toc75897203">
        <w:r>
          <w:rPr>
            <w:rStyle w:val="czeindeksu"/>
            <w:rFonts w:ascii="Times New Roman" w:hAnsi="Times New Roman" w:cs="Times New Roman"/>
          </w:rPr>
          <w:t>Wykres 1 Udział bezrobotnych zarejestrowanych w liczbie ludności w wieku produkcyjnym w gminach Zielonego Zagłębia.</w:t>
        </w:r>
        <w:r>
          <w:rPr>
            <w:webHidden/>
          </w:rPr>
          <w:fldChar w:fldCharType="begin"/>
        </w:r>
        <w:r>
          <w:rPr>
            <w:webHidden/>
          </w:rPr>
          <w:instrText>PAGEREF _Toc75897203 \h</w:instrText>
        </w:r>
        <w:r>
          <w:rPr>
            <w:webHidden/>
          </w:rPr>
        </w:r>
        <w:r>
          <w:rPr>
            <w:webHidden/>
          </w:rPr>
          <w:fldChar w:fldCharType="separate"/>
        </w:r>
        <w:r>
          <w:rPr>
            <w:rStyle w:val="czeindeksu"/>
          </w:rPr>
          <w:tab/>
          <w:t>16</w:t>
        </w:r>
        <w:r>
          <w:rPr>
            <w:webHidden/>
          </w:rPr>
          <w:fldChar w:fldCharType="end"/>
        </w:r>
      </w:hyperlink>
    </w:p>
    <w:p w:rsidR="00DC75FA" w:rsidRDefault="00A47575">
      <w:pPr>
        <w:pStyle w:val="Spisilustracji"/>
        <w:tabs>
          <w:tab w:val="right" w:leader="dot" w:pos="9203"/>
        </w:tabs>
        <w:rPr>
          <w:rFonts w:eastAsiaTheme="minorEastAsia"/>
          <w:lang w:eastAsia="pl-PL"/>
        </w:rPr>
      </w:pPr>
      <w:hyperlink w:anchor="_Toc75897204">
        <w:r w:rsidR="00887D84">
          <w:rPr>
            <w:rStyle w:val="czeindeksu"/>
            <w:rFonts w:ascii="Times New Roman" w:hAnsi="Times New Roman" w:cs="Times New Roman"/>
          </w:rPr>
          <w:t>Wykres 2 Środki z Unii Europejskiej pozyskane przez samorządy gmin współpracujących w ramach obszaru Zielone Zagłębie</w:t>
        </w:r>
        <w:r w:rsidR="00887D84">
          <w:rPr>
            <w:webHidden/>
          </w:rPr>
          <w:fldChar w:fldCharType="begin"/>
        </w:r>
        <w:r w:rsidR="00887D84">
          <w:rPr>
            <w:webHidden/>
          </w:rPr>
          <w:instrText>PAGEREF _Toc75897204 \h</w:instrText>
        </w:r>
        <w:r w:rsidR="00887D84">
          <w:rPr>
            <w:webHidden/>
          </w:rPr>
        </w:r>
        <w:r w:rsidR="00887D84">
          <w:rPr>
            <w:webHidden/>
          </w:rPr>
          <w:fldChar w:fldCharType="separate"/>
        </w:r>
        <w:r w:rsidR="00887D84">
          <w:rPr>
            <w:rStyle w:val="czeindeksu"/>
          </w:rPr>
          <w:tab/>
          <w:t>17</w:t>
        </w:r>
        <w:r w:rsidR="00887D84">
          <w:rPr>
            <w:webHidden/>
          </w:rPr>
          <w:fldChar w:fldCharType="end"/>
        </w:r>
      </w:hyperlink>
    </w:p>
    <w:p w:rsidR="00DC75FA" w:rsidRDefault="00887D84">
      <w:pPr>
        <w:rPr>
          <w:rFonts w:ascii="Times New Roman" w:hAnsi="Times New Roman" w:cs="Times New Roman"/>
        </w:rPr>
      </w:pPr>
      <w:r>
        <w:rPr>
          <w:rFonts w:ascii="Times New Roman" w:hAnsi="Times New Roman" w:cs="Times New Roman"/>
        </w:rPr>
        <w:fldChar w:fldCharType="end"/>
      </w:r>
    </w:p>
    <w:p w:rsidR="00DC75FA" w:rsidRDefault="00887D84">
      <w:pPr>
        <w:pStyle w:val="Nagwek2"/>
      </w:pPr>
      <w:r>
        <w:rPr>
          <w:rFonts w:ascii="Times New Roman" w:hAnsi="Times New Roman" w:cs="Times New Roman"/>
        </w:rPr>
        <w:t>Spis rysunków</w:t>
      </w:r>
    </w:p>
    <w:p w:rsidR="00DC75FA" w:rsidRDefault="00887D84">
      <w:pPr>
        <w:pStyle w:val="Spisilustracji"/>
        <w:tabs>
          <w:tab w:val="right" w:leader="dot" w:pos="9203"/>
        </w:tabs>
        <w:rPr>
          <w:rFonts w:eastAsiaTheme="minorEastAsia"/>
          <w:lang w:eastAsia="pl-PL"/>
        </w:rPr>
      </w:pPr>
      <w:r>
        <w:fldChar w:fldCharType="begin"/>
      </w:r>
      <w:r>
        <w:rPr>
          <w:rStyle w:val="czeindeksu"/>
          <w:rFonts w:ascii="Times New Roman" w:hAnsi="Times New Roman" w:cs="Times New Roman"/>
        </w:rPr>
        <w:instrText>TOC \c "Rysunek"</w:instrText>
      </w:r>
      <w:r>
        <w:rPr>
          <w:rStyle w:val="czeindeksu"/>
        </w:rPr>
        <w:fldChar w:fldCharType="separate"/>
      </w:r>
      <w:hyperlink w:anchor="_Toc116896486">
        <w:r>
          <w:rPr>
            <w:rStyle w:val="czeindeksu"/>
            <w:rFonts w:ascii="Times New Roman" w:hAnsi="Times New Roman" w:cs="Times New Roman"/>
          </w:rPr>
          <w:t>Rysunek 1: Herby i logotypy poszczególnych JST wchodzących w skład OF</w:t>
        </w:r>
        <w:r>
          <w:rPr>
            <w:webHidden/>
          </w:rPr>
          <w:fldChar w:fldCharType="begin"/>
        </w:r>
        <w:r>
          <w:rPr>
            <w:webHidden/>
          </w:rPr>
          <w:instrText>PAGEREF _Toc116896486 \h</w:instrText>
        </w:r>
        <w:r>
          <w:rPr>
            <w:webHidden/>
          </w:rPr>
        </w:r>
        <w:r>
          <w:rPr>
            <w:webHidden/>
          </w:rPr>
          <w:fldChar w:fldCharType="separate"/>
        </w:r>
        <w:r>
          <w:rPr>
            <w:rStyle w:val="czeindeksu"/>
          </w:rPr>
          <w:tab/>
          <w:t>10</w:t>
        </w:r>
        <w:r>
          <w:rPr>
            <w:webHidden/>
          </w:rPr>
          <w:fldChar w:fldCharType="end"/>
        </w:r>
      </w:hyperlink>
    </w:p>
    <w:p w:rsidR="00DC75FA" w:rsidRDefault="00A47575">
      <w:pPr>
        <w:pStyle w:val="Spisilustracji"/>
        <w:tabs>
          <w:tab w:val="right" w:leader="dot" w:pos="9203"/>
        </w:tabs>
        <w:rPr>
          <w:rFonts w:eastAsiaTheme="minorEastAsia"/>
          <w:lang w:eastAsia="pl-PL"/>
        </w:rPr>
      </w:pPr>
      <w:hyperlink w:anchor="_Toc116896487">
        <w:r w:rsidR="00887D84">
          <w:rPr>
            <w:rStyle w:val="czeindeksu"/>
            <w:rFonts w:ascii="Times New Roman" w:hAnsi="Times New Roman" w:cs="Times New Roman"/>
          </w:rPr>
          <w:t>Rysunek 2 Struktura dokumentów strategicznych w ramach porozumienia</w:t>
        </w:r>
        <w:r w:rsidR="00887D84">
          <w:rPr>
            <w:webHidden/>
          </w:rPr>
          <w:fldChar w:fldCharType="begin"/>
        </w:r>
        <w:r w:rsidR="00887D84">
          <w:rPr>
            <w:webHidden/>
          </w:rPr>
          <w:instrText>PAGEREF _Toc116896487 \h</w:instrText>
        </w:r>
        <w:r w:rsidR="00887D84">
          <w:rPr>
            <w:webHidden/>
          </w:rPr>
        </w:r>
        <w:r w:rsidR="00887D84">
          <w:rPr>
            <w:webHidden/>
          </w:rPr>
          <w:fldChar w:fldCharType="separate"/>
        </w:r>
        <w:r w:rsidR="00887D84">
          <w:rPr>
            <w:rStyle w:val="czeindeksu"/>
          </w:rPr>
          <w:tab/>
          <w:t>42</w:t>
        </w:r>
        <w:r w:rsidR="00887D84">
          <w:rPr>
            <w:webHidden/>
          </w:rPr>
          <w:fldChar w:fldCharType="end"/>
        </w:r>
      </w:hyperlink>
    </w:p>
    <w:p w:rsidR="00DC75FA" w:rsidRDefault="00A47575">
      <w:pPr>
        <w:pStyle w:val="Spisilustracji"/>
        <w:tabs>
          <w:tab w:val="right" w:leader="dot" w:pos="9203"/>
        </w:tabs>
        <w:rPr>
          <w:rFonts w:eastAsiaTheme="minorEastAsia"/>
          <w:lang w:eastAsia="pl-PL"/>
        </w:rPr>
      </w:pPr>
      <w:hyperlink w:anchor="_Toc116896488">
        <w:r w:rsidR="00887D84">
          <w:rPr>
            <w:rStyle w:val="czeindeksu"/>
            <w:rFonts w:ascii="Times New Roman" w:hAnsi="Times New Roman" w:cs="Times New Roman"/>
          </w:rPr>
          <w:t>Rysunek 3 Struktura i system zarządzania Strategią Ponadlokalną</w:t>
        </w:r>
        <w:r w:rsidR="00887D84">
          <w:rPr>
            <w:webHidden/>
          </w:rPr>
          <w:fldChar w:fldCharType="begin"/>
        </w:r>
        <w:r w:rsidR="00887D84">
          <w:rPr>
            <w:webHidden/>
          </w:rPr>
          <w:instrText>PAGEREF _Toc116896488 \h</w:instrText>
        </w:r>
        <w:r w:rsidR="00887D84">
          <w:rPr>
            <w:webHidden/>
          </w:rPr>
        </w:r>
        <w:r w:rsidR="00887D84">
          <w:rPr>
            <w:webHidden/>
          </w:rPr>
          <w:fldChar w:fldCharType="separate"/>
        </w:r>
        <w:r w:rsidR="00887D84">
          <w:rPr>
            <w:rStyle w:val="czeindeksu"/>
          </w:rPr>
          <w:tab/>
          <w:t>44</w:t>
        </w:r>
        <w:r w:rsidR="00887D84">
          <w:rPr>
            <w:webHidden/>
          </w:rPr>
          <w:fldChar w:fldCharType="end"/>
        </w:r>
      </w:hyperlink>
    </w:p>
    <w:p w:rsidR="00DC75FA" w:rsidRDefault="00887D84">
      <w:pPr>
        <w:rPr>
          <w:rFonts w:ascii="Times New Roman" w:hAnsi="Times New Roman" w:cs="Times New Roman"/>
        </w:rPr>
      </w:pPr>
      <w:r>
        <w:rPr>
          <w:rFonts w:ascii="Times New Roman" w:hAnsi="Times New Roman" w:cs="Times New Roman"/>
        </w:rPr>
        <w:fldChar w:fldCharType="end"/>
      </w: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sectPr w:rsidR="00DC75FA">
          <w:headerReference w:type="default" r:id="rId61"/>
          <w:footerReference w:type="default" r:id="rId62"/>
          <w:pgSz w:w="11906" w:h="16838"/>
          <w:pgMar w:top="1417" w:right="1417" w:bottom="1417" w:left="1276" w:header="284" w:footer="0" w:gutter="0"/>
          <w:pgNumType w:start="1"/>
          <w:cols w:space="708"/>
          <w:formProt w:val="0"/>
          <w:docGrid w:linePitch="360" w:charSpace="4096"/>
        </w:sectPr>
      </w:pPr>
    </w:p>
    <w:p w:rsidR="00DC75FA" w:rsidRDefault="00887D84">
      <w:pPr>
        <w:rPr>
          <w:rFonts w:ascii="Times New Roman" w:eastAsiaTheme="minorEastAsia" w:hAnsi="Times New Roman" w:cs="Times New Roman"/>
          <w:b/>
          <w:color w:val="5B9BD5" w:themeColor="accent1"/>
          <w:sz w:val="32"/>
          <w:szCs w:val="24"/>
          <w:lang w:eastAsia="pl-PL"/>
        </w:rPr>
      </w:pPr>
      <w:r>
        <w:rPr>
          <w:rFonts w:ascii="Times New Roman" w:hAnsi="Times New Roman" w:cs="Times New Roman"/>
          <w:b/>
          <w:color w:val="5B9BD5" w:themeColor="accent1"/>
          <w:sz w:val="20"/>
          <w:szCs w:val="20"/>
        </w:rPr>
        <w:lastRenderedPageBreak/>
        <w:t xml:space="preserve">Załącznik do Strategii </w:t>
      </w:r>
      <w:r>
        <w:rPr>
          <w:rFonts w:ascii="Times New Roman" w:eastAsiaTheme="minorEastAsia" w:hAnsi="Times New Roman" w:cs="Times New Roman"/>
          <w:b/>
          <w:color w:val="5B9BD5" w:themeColor="accent1"/>
          <w:sz w:val="32"/>
          <w:szCs w:val="24"/>
          <w:lang w:eastAsia="pl-PL"/>
        </w:rPr>
        <w:t xml:space="preserve"> </w:t>
      </w:r>
    </w:p>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 w:rsidR="00DC75FA" w:rsidRDefault="00887D84">
      <w:pPr>
        <w:jc w:val="center"/>
        <w:rPr>
          <w:rFonts w:ascii="Times New Roman" w:hAnsi="Times New Roman" w:cs="Times New Roman"/>
          <w:b/>
          <w:color w:val="5B9BD5" w:themeColor="accent1"/>
          <w:sz w:val="32"/>
          <w:szCs w:val="24"/>
        </w:rPr>
      </w:pPr>
      <w:r>
        <w:rPr>
          <w:rFonts w:ascii="Times New Roman" w:hAnsi="Times New Roman" w:cs="Times New Roman"/>
          <w:sz w:val="72"/>
          <w:szCs w:val="72"/>
        </w:rPr>
        <w:t>DIAGNOZA STANU WYJŚCIOWEGO</w:t>
      </w:r>
      <w:r>
        <w:rPr>
          <w:rFonts w:ascii="Times New Roman" w:hAnsi="Times New Roman" w:cs="Times New Roman"/>
          <w:sz w:val="72"/>
          <w:szCs w:val="72"/>
        </w:rPr>
        <w:br/>
        <w:t>OBSZARU WSPÓŁPRACY PONADLOKALNEJ: ZIELONE ZAGŁĘBIE</w:t>
      </w:r>
    </w:p>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 w:rsidR="00DC75FA" w:rsidRDefault="00DC75FA">
      <w:pPr>
        <w:pStyle w:val="Bezodstpw"/>
        <w:spacing w:after="240" w:line="276" w:lineRule="auto"/>
        <w:jc w:val="center"/>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both"/>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both"/>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both"/>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jc w:val="both"/>
        <w:outlineLvl w:val="1"/>
        <w:rPr>
          <w:rFonts w:ascii="Times New Roman" w:hAnsi="Times New Roman" w:cs="Times New Roman"/>
          <w:b/>
          <w:color w:val="5B9BD5" w:themeColor="accent1"/>
          <w:sz w:val="32"/>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DC75FA">
      <w:pPr>
        <w:pStyle w:val="Bezodstpw"/>
        <w:spacing w:after="240" w:line="276" w:lineRule="auto"/>
        <w:contextualSpacing/>
        <w:rPr>
          <w:rFonts w:ascii="Times New Roman" w:hAnsi="Times New Roman" w:cs="Times New Roman"/>
          <w:b/>
          <w:color w:val="5B9BD5" w:themeColor="accent1"/>
          <w:sz w:val="28"/>
          <w:szCs w:val="24"/>
        </w:rPr>
      </w:pPr>
    </w:p>
    <w:p w:rsidR="00DC75FA" w:rsidRDefault="00887D84">
      <w:pPr>
        <w:pStyle w:val="Bezodstpw"/>
        <w:spacing w:after="240" w:line="276" w:lineRule="auto"/>
        <w:contextualSpacing/>
      </w:pPr>
      <w:r>
        <w:rPr>
          <w:rFonts w:ascii="Times New Roman" w:hAnsi="Times New Roman" w:cs="Times New Roman"/>
          <w:b/>
          <w:color w:val="5B9BD5" w:themeColor="accent1"/>
          <w:sz w:val="28"/>
          <w:szCs w:val="24"/>
        </w:rPr>
        <w:t>SPIS TREŚCI</w:t>
      </w:r>
    </w:p>
    <w:sdt>
      <w:sdtPr>
        <w:rPr>
          <w:rFonts w:ascii="Calibri" w:eastAsiaTheme="minorEastAsia" w:hAnsi="Calibri"/>
          <w:lang w:eastAsia="pl-PL"/>
        </w:rPr>
        <w:id w:val="800112603"/>
        <w:docPartObj>
          <w:docPartGallery w:val="Table of Contents"/>
          <w:docPartUnique/>
        </w:docPartObj>
      </w:sdtPr>
      <w:sdtEndPr/>
      <w:sdtContent>
        <w:p w:rsidR="00DC75FA" w:rsidRDefault="00887D84">
          <w:pPr>
            <w:pStyle w:val="Spistreci2"/>
            <w:tabs>
              <w:tab w:val="right" w:leader="dot" w:pos="9628"/>
            </w:tabs>
            <w:rPr>
              <w:rFonts w:eastAsiaTheme="minorEastAsia"/>
              <w:lang w:eastAsia="pl-PL"/>
            </w:rPr>
          </w:pPr>
          <w:r>
            <w:fldChar w:fldCharType="begin"/>
          </w:r>
          <w:r>
            <w:rPr>
              <w:rStyle w:val="czeindeksu"/>
              <w:rFonts w:ascii="Times New Roman" w:hAnsi="Times New Roman" w:cs="Times New Roman"/>
              <w:b/>
              <w:webHidden/>
            </w:rPr>
            <w:instrText>TOC \z \o "1-4" \u \h</w:instrText>
          </w:r>
          <w:r>
            <w:rPr>
              <w:rStyle w:val="czeindeksu"/>
              <w:b/>
            </w:rPr>
            <w:fldChar w:fldCharType="separate"/>
          </w:r>
          <w:hyperlink w:anchor="_Toc116896667">
            <w:r>
              <w:rPr>
                <w:rStyle w:val="czeindeksu"/>
                <w:rFonts w:ascii="Times New Roman" w:hAnsi="Times New Roman" w:cs="Times New Roman"/>
                <w:b/>
                <w:webHidden/>
              </w:rPr>
              <w:t>DIAGNOZA STANU WYJŚCIOWEGO</w:t>
            </w:r>
            <w:r>
              <w:rPr>
                <w:webHidden/>
              </w:rPr>
              <w:fldChar w:fldCharType="begin"/>
            </w:r>
            <w:r>
              <w:rPr>
                <w:webHidden/>
              </w:rPr>
              <w:instrText>PAGEREF _Toc116896667 \h</w:instrText>
            </w:r>
            <w:r>
              <w:rPr>
                <w:webHidden/>
              </w:rPr>
            </w:r>
            <w:r>
              <w:rPr>
                <w:webHidden/>
              </w:rPr>
              <w:fldChar w:fldCharType="separate"/>
            </w:r>
            <w:r>
              <w:rPr>
                <w:rStyle w:val="czeindeksu"/>
              </w:rPr>
              <w:tab/>
              <w:t>1</w:t>
            </w:r>
            <w:r>
              <w:rPr>
                <w:webHidden/>
              </w:rPr>
              <w:fldChar w:fldCharType="end"/>
            </w:r>
          </w:hyperlink>
        </w:p>
        <w:p w:rsidR="00DC75FA" w:rsidRDefault="00A47575">
          <w:pPr>
            <w:pStyle w:val="Spistreci3"/>
            <w:tabs>
              <w:tab w:val="left" w:pos="1100"/>
              <w:tab w:val="right" w:leader="dot" w:pos="9628"/>
            </w:tabs>
            <w:rPr>
              <w:rFonts w:eastAsiaTheme="minorEastAsia"/>
              <w:lang w:eastAsia="pl-PL"/>
            </w:rPr>
          </w:pPr>
          <w:hyperlink w:anchor="_Toc116896668">
            <w:r w:rsidR="00887D84">
              <w:rPr>
                <w:rStyle w:val="czeindeksu"/>
                <w:rFonts w:ascii="Times New Roman" w:hAnsi="Times New Roman" w:cs="Times New Roman"/>
                <w:b/>
                <w:webHidden/>
              </w:rPr>
              <w:t>1.1.</w:t>
            </w:r>
            <w:r w:rsidR="00887D84">
              <w:rPr>
                <w:rStyle w:val="czeindeksu"/>
                <w:rFonts w:eastAsiaTheme="minorEastAsia"/>
                <w:lang w:eastAsia="pl-PL"/>
              </w:rPr>
              <w:tab/>
            </w:r>
            <w:r w:rsidR="00887D84">
              <w:rPr>
                <w:rStyle w:val="czeindeksu"/>
                <w:rFonts w:ascii="Times New Roman" w:hAnsi="Times New Roman" w:cs="Times New Roman"/>
                <w:b/>
              </w:rPr>
              <w:t>OBSZAR FUNKCJONALNY</w:t>
            </w:r>
            <w:r w:rsidR="00887D84">
              <w:rPr>
                <w:webHidden/>
              </w:rPr>
              <w:fldChar w:fldCharType="begin"/>
            </w:r>
            <w:r w:rsidR="00887D84">
              <w:rPr>
                <w:webHidden/>
              </w:rPr>
              <w:instrText>PAGEREF _Toc116896668 \h</w:instrText>
            </w:r>
            <w:r w:rsidR="00887D84">
              <w:rPr>
                <w:webHidden/>
              </w:rPr>
            </w:r>
            <w:r w:rsidR="00887D84">
              <w:rPr>
                <w:webHidden/>
              </w:rPr>
              <w:fldChar w:fldCharType="separate"/>
            </w:r>
            <w:r w:rsidR="00887D84">
              <w:rPr>
                <w:rStyle w:val="czeindeksu"/>
              </w:rPr>
              <w:tab/>
              <w:t>1</w:t>
            </w:r>
            <w:r w:rsidR="00887D84">
              <w:rPr>
                <w:webHidden/>
              </w:rPr>
              <w:fldChar w:fldCharType="end"/>
            </w:r>
          </w:hyperlink>
        </w:p>
        <w:p w:rsidR="00DC75FA" w:rsidRDefault="00A47575">
          <w:pPr>
            <w:pStyle w:val="Spistreci3"/>
            <w:tabs>
              <w:tab w:val="left" w:pos="1100"/>
              <w:tab w:val="right" w:leader="dot" w:pos="9628"/>
            </w:tabs>
            <w:rPr>
              <w:rFonts w:eastAsiaTheme="minorEastAsia"/>
              <w:lang w:eastAsia="pl-PL"/>
            </w:rPr>
          </w:pPr>
          <w:hyperlink w:anchor="_Toc116896669">
            <w:r w:rsidR="00887D84">
              <w:rPr>
                <w:rStyle w:val="czeindeksu"/>
                <w:rFonts w:ascii="Times New Roman" w:hAnsi="Times New Roman" w:cs="Times New Roman"/>
                <w:b/>
                <w:webHidden/>
              </w:rPr>
              <w:t>1.2.</w:t>
            </w:r>
            <w:r w:rsidR="00887D84">
              <w:rPr>
                <w:rStyle w:val="czeindeksu"/>
                <w:rFonts w:eastAsiaTheme="minorEastAsia"/>
                <w:lang w:eastAsia="pl-PL"/>
              </w:rPr>
              <w:tab/>
            </w:r>
            <w:r w:rsidR="00887D84">
              <w:rPr>
                <w:rStyle w:val="czeindeksu"/>
                <w:rFonts w:ascii="Times New Roman" w:hAnsi="Times New Roman" w:cs="Times New Roman"/>
                <w:b/>
              </w:rPr>
              <w:t>SPOŁECZEŃSTWO</w:t>
            </w:r>
            <w:r w:rsidR="00887D84">
              <w:rPr>
                <w:webHidden/>
              </w:rPr>
              <w:fldChar w:fldCharType="begin"/>
            </w:r>
            <w:r w:rsidR="00887D84">
              <w:rPr>
                <w:webHidden/>
              </w:rPr>
              <w:instrText>PAGEREF _Toc116896669 \h</w:instrText>
            </w:r>
            <w:r w:rsidR="00887D84">
              <w:rPr>
                <w:webHidden/>
              </w:rPr>
            </w:r>
            <w:r w:rsidR="00887D84">
              <w:rPr>
                <w:webHidden/>
              </w:rPr>
              <w:fldChar w:fldCharType="separate"/>
            </w:r>
            <w:r w:rsidR="00887D84">
              <w:rPr>
                <w:rStyle w:val="czeindeksu"/>
              </w:rPr>
              <w:tab/>
              <w:t>7</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70">
            <w:r w:rsidR="00887D84">
              <w:rPr>
                <w:rStyle w:val="czeindeksu"/>
                <w:rFonts w:ascii="Times New Roman" w:hAnsi="Times New Roman" w:cs="Times New Roman"/>
                <w:b/>
                <w:webHidden/>
              </w:rPr>
              <w:t>1.2.1.</w:t>
            </w:r>
            <w:r w:rsidR="00887D84">
              <w:rPr>
                <w:rStyle w:val="czeindeksu"/>
                <w:rFonts w:eastAsiaTheme="minorEastAsia"/>
                <w:lang w:eastAsia="pl-PL"/>
              </w:rPr>
              <w:tab/>
            </w:r>
            <w:r w:rsidR="00887D84">
              <w:rPr>
                <w:rStyle w:val="czeindeksu"/>
                <w:rFonts w:ascii="Times New Roman" w:hAnsi="Times New Roman" w:cs="Times New Roman"/>
                <w:b/>
              </w:rPr>
              <w:t>Demografia</w:t>
            </w:r>
            <w:r w:rsidR="00887D84">
              <w:rPr>
                <w:webHidden/>
              </w:rPr>
              <w:fldChar w:fldCharType="begin"/>
            </w:r>
            <w:r w:rsidR="00887D84">
              <w:rPr>
                <w:webHidden/>
              </w:rPr>
              <w:instrText>PAGEREF _Toc116896670 \h</w:instrText>
            </w:r>
            <w:r w:rsidR="00887D84">
              <w:rPr>
                <w:webHidden/>
              </w:rPr>
            </w:r>
            <w:r w:rsidR="00887D84">
              <w:rPr>
                <w:webHidden/>
              </w:rPr>
              <w:fldChar w:fldCharType="separate"/>
            </w:r>
            <w:r w:rsidR="00887D84">
              <w:rPr>
                <w:rStyle w:val="czeindeksu"/>
              </w:rPr>
              <w:tab/>
              <w:t>7</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71">
            <w:r w:rsidR="00887D84">
              <w:rPr>
                <w:rStyle w:val="czeindeksu"/>
                <w:rFonts w:ascii="Times New Roman" w:hAnsi="Times New Roman" w:cs="Times New Roman"/>
                <w:b/>
                <w:webHidden/>
              </w:rPr>
              <w:t>1.2.2.</w:t>
            </w:r>
            <w:r w:rsidR="00887D84">
              <w:rPr>
                <w:rStyle w:val="czeindeksu"/>
                <w:rFonts w:eastAsiaTheme="minorEastAsia"/>
                <w:lang w:eastAsia="pl-PL"/>
              </w:rPr>
              <w:tab/>
            </w:r>
            <w:r w:rsidR="00887D84">
              <w:rPr>
                <w:rStyle w:val="czeindeksu"/>
                <w:rFonts w:ascii="Times New Roman" w:hAnsi="Times New Roman" w:cs="Times New Roman"/>
                <w:b/>
              </w:rPr>
              <w:t>Rynek pracy</w:t>
            </w:r>
            <w:r w:rsidR="00887D84">
              <w:rPr>
                <w:webHidden/>
              </w:rPr>
              <w:fldChar w:fldCharType="begin"/>
            </w:r>
            <w:r w:rsidR="00887D84">
              <w:rPr>
                <w:webHidden/>
              </w:rPr>
              <w:instrText>PAGEREF _Toc116896671 \h</w:instrText>
            </w:r>
            <w:r w:rsidR="00887D84">
              <w:rPr>
                <w:webHidden/>
              </w:rPr>
            </w:r>
            <w:r w:rsidR="00887D84">
              <w:rPr>
                <w:webHidden/>
              </w:rPr>
              <w:fldChar w:fldCharType="separate"/>
            </w:r>
            <w:r w:rsidR="00887D84">
              <w:rPr>
                <w:rStyle w:val="czeindeksu"/>
              </w:rPr>
              <w:tab/>
              <w:t>17</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72">
            <w:r w:rsidR="00887D84">
              <w:rPr>
                <w:rStyle w:val="czeindeksu"/>
                <w:rFonts w:ascii="Times New Roman" w:hAnsi="Times New Roman" w:cs="Times New Roman"/>
                <w:b/>
                <w:webHidden/>
              </w:rPr>
              <w:t>1.2.3.</w:t>
            </w:r>
            <w:r w:rsidR="00887D84">
              <w:rPr>
                <w:rStyle w:val="czeindeksu"/>
                <w:rFonts w:eastAsiaTheme="minorEastAsia"/>
                <w:lang w:eastAsia="pl-PL"/>
              </w:rPr>
              <w:tab/>
            </w:r>
            <w:r w:rsidR="00887D84">
              <w:rPr>
                <w:rStyle w:val="czeindeksu"/>
                <w:rFonts w:ascii="Times New Roman" w:hAnsi="Times New Roman" w:cs="Times New Roman"/>
                <w:b/>
              </w:rPr>
              <w:t>Aktywność społeczna mieszkańców</w:t>
            </w:r>
            <w:r w:rsidR="00887D84">
              <w:rPr>
                <w:webHidden/>
              </w:rPr>
              <w:fldChar w:fldCharType="begin"/>
            </w:r>
            <w:r w:rsidR="00887D84">
              <w:rPr>
                <w:webHidden/>
              </w:rPr>
              <w:instrText>PAGEREF _Toc116896672 \h</w:instrText>
            </w:r>
            <w:r w:rsidR="00887D84">
              <w:rPr>
                <w:webHidden/>
              </w:rPr>
            </w:r>
            <w:r w:rsidR="00887D84">
              <w:rPr>
                <w:webHidden/>
              </w:rPr>
              <w:fldChar w:fldCharType="separate"/>
            </w:r>
            <w:r w:rsidR="00887D84">
              <w:rPr>
                <w:rStyle w:val="czeindeksu"/>
              </w:rPr>
              <w:tab/>
              <w:t>20</w:t>
            </w:r>
            <w:r w:rsidR="00887D84">
              <w:rPr>
                <w:webHidden/>
              </w:rPr>
              <w:fldChar w:fldCharType="end"/>
            </w:r>
          </w:hyperlink>
        </w:p>
        <w:p w:rsidR="00DC75FA" w:rsidRDefault="00A47575">
          <w:pPr>
            <w:pStyle w:val="Spistreci3"/>
            <w:tabs>
              <w:tab w:val="left" w:pos="1100"/>
              <w:tab w:val="right" w:leader="dot" w:pos="9628"/>
            </w:tabs>
            <w:rPr>
              <w:rFonts w:eastAsiaTheme="minorEastAsia"/>
              <w:lang w:eastAsia="pl-PL"/>
            </w:rPr>
          </w:pPr>
          <w:hyperlink w:anchor="_Toc116896673">
            <w:r w:rsidR="00887D84">
              <w:rPr>
                <w:rStyle w:val="czeindeksu"/>
                <w:rFonts w:ascii="Times New Roman" w:hAnsi="Times New Roman" w:cs="Times New Roman"/>
                <w:b/>
                <w:webHidden/>
              </w:rPr>
              <w:t>1.3.</w:t>
            </w:r>
            <w:r w:rsidR="00887D84">
              <w:rPr>
                <w:rStyle w:val="czeindeksu"/>
                <w:rFonts w:eastAsiaTheme="minorEastAsia"/>
                <w:lang w:eastAsia="pl-PL"/>
              </w:rPr>
              <w:tab/>
            </w:r>
            <w:r w:rsidR="00887D84">
              <w:rPr>
                <w:rStyle w:val="czeindeksu"/>
                <w:rFonts w:ascii="Times New Roman" w:hAnsi="Times New Roman" w:cs="Times New Roman"/>
                <w:b/>
              </w:rPr>
              <w:t>SZKOLNICTWO I WYCHOWANIE</w:t>
            </w:r>
            <w:r w:rsidR="00887D84">
              <w:rPr>
                <w:webHidden/>
              </w:rPr>
              <w:fldChar w:fldCharType="begin"/>
            </w:r>
            <w:r w:rsidR="00887D84">
              <w:rPr>
                <w:webHidden/>
              </w:rPr>
              <w:instrText>PAGEREF _Toc116896673 \h</w:instrText>
            </w:r>
            <w:r w:rsidR="00887D84">
              <w:rPr>
                <w:webHidden/>
              </w:rPr>
            </w:r>
            <w:r w:rsidR="00887D84">
              <w:rPr>
                <w:webHidden/>
              </w:rPr>
              <w:fldChar w:fldCharType="separate"/>
            </w:r>
            <w:r w:rsidR="00887D84">
              <w:rPr>
                <w:rStyle w:val="czeindeksu"/>
              </w:rPr>
              <w:tab/>
              <w:t>25</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74">
            <w:r w:rsidR="00887D84">
              <w:rPr>
                <w:rStyle w:val="czeindeksu"/>
                <w:rFonts w:ascii="Times New Roman" w:hAnsi="Times New Roman" w:cs="Times New Roman"/>
                <w:b/>
                <w:webHidden/>
              </w:rPr>
              <w:t>1.3.1.</w:t>
            </w:r>
            <w:r w:rsidR="00887D84">
              <w:rPr>
                <w:rStyle w:val="czeindeksu"/>
                <w:rFonts w:eastAsiaTheme="minorEastAsia"/>
                <w:lang w:eastAsia="pl-PL"/>
              </w:rPr>
              <w:tab/>
            </w:r>
            <w:r w:rsidR="00887D84">
              <w:rPr>
                <w:rStyle w:val="czeindeksu"/>
                <w:rFonts w:ascii="Times New Roman" w:hAnsi="Times New Roman" w:cs="Times New Roman"/>
                <w:b/>
              </w:rPr>
              <w:t>Wychowanie przedszkolne i szkolne</w:t>
            </w:r>
            <w:r w:rsidR="00887D84">
              <w:rPr>
                <w:webHidden/>
              </w:rPr>
              <w:fldChar w:fldCharType="begin"/>
            </w:r>
            <w:r w:rsidR="00887D84">
              <w:rPr>
                <w:webHidden/>
              </w:rPr>
              <w:instrText>PAGEREF _Toc116896674 \h</w:instrText>
            </w:r>
            <w:r w:rsidR="00887D84">
              <w:rPr>
                <w:webHidden/>
              </w:rPr>
            </w:r>
            <w:r w:rsidR="00887D84">
              <w:rPr>
                <w:webHidden/>
              </w:rPr>
              <w:fldChar w:fldCharType="separate"/>
            </w:r>
            <w:r w:rsidR="00887D84">
              <w:rPr>
                <w:rStyle w:val="czeindeksu"/>
              </w:rPr>
              <w:tab/>
              <w:t>25</w:t>
            </w:r>
            <w:r w:rsidR="00887D84">
              <w:rPr>
                <w:webHidden/>
              </w:rPr>
              <w:fldChar w:fldCharType="end"/>
            </w:r>
          </w:hyperlink>
        </w:p>
        <w:p w:rsidR="00DC75FA" w:rsidRDefault="00A47575">
          <w:pPr>
            <w:pStyle w:val="Spistreci3"/>
            <w:tabs>
              <w:tab w:val="left" w:pos="1100"/>
              <w:tab w:val="right" w:leader="dot" w:pos="9628"/>
            </w:tabs>
            <w:rPr>
              <w:rFonts w:eastAsiaTheme="minorEastAsia"/>
              <w:lang w:eastAsia="pl-PL"/>
            </w:rPr>
          </w:pPr>
          <w:hyperlink w:anchor="_Toc116896675">
            <w:r w:rsidR="00887D84">
              <w:rPr>
                <w:rStyle w:val="czeindeksu"/>
                <w:rFonts w:ascii="Times New Roman" w:hAnsi="Times New Roman" w:cs="Times New Roman"/>
                <w:b/>
                <w:webHidden/>
              </w:rPr>
              <w:t>1.4.</w:t>
            </w:r>
            <w:r w:rsidR="00887D84">
              <w:rPr>
                <w:rStyle w:val="czeindeksu"/>
                <w:rFonts w:eastAsiaTheme="minorEastAsia"/>
                <w:lang w:eastAsia="pl-PL"/>
              </w:rPr>
              <w:tab/>
            </w:r>
            <w:r w:rsidR="00887D84">
              <w:rPr>
                <w:rStyle w:val="czeindeksu"/>
                <w:rFonts w:ascii="Times New Roman" w:hAnsi="Times New Roman" w:cs="Times New Roman"/>
                <w:b/>
              </w:rPr>
              <w:t>INFRASTRUKTURA</w:t>
            </w:r>
            <w:r w:rsidR="00887D84">
              <w:rPr>
                <w:webHidden/>
              </w:rPr>
              <w:fldChar w:fldCharType="begin"/>
            </w:r>
            <w:r w:rsidR="00887D84">
              <w:rPr>
                <w:webHidden/>
              </w:rPr>
              <w:instrText>PAGEREF _Toc116896675 \h</w:instrText>
            </w:r>
            <w:r w:rsidR="00887D84">
              <w:rPr>
                <w:webHidden/>
              </w:rPr>
            </w:r>
            <w:r w:rsidR="00887D84">
              <w:rPr>
                <w:webHidden/>
              </w:rPr>
              <w:fldChar w:fldCharType="separate"/>
            </w:r>
            <w:r w:rsidR="00887D84">
              <w:rPr>
                <w:rStyle w:val="czeindeksu"/>
              </w:rPr>
              <w:tab/>
              <w:t>29</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76">
            <w:r w:rsidR="00887D84">
              <w:rPr>
                <w:rStyle w:val="czeindeksu"/>
                <w:rFonts w:ascii="Times New Roman" w:hAnsi="Times New Roman" w:cs="Times New Roman"/>
                <w:b/>
                <w:webHidden/>
              </w:rPr>
              <w:t>1.4.1.</w:t>
            </w:r>
            <w:r w:rsidR="00887D84">
              <w:rPr>
                <w:rStyle w:val="czeindeksu"/>
                <w:rFonts w:eastAsiaTheme="minorEastAsia"/>
                <w:lang w:eastAsia="pl-PL"/>
              </w:rPr>
              <w:tab/>
            </w:r>
            <w:r w:rsidR="00887D84">
              <w:rPr>
                <w:rStyle w:val="czeindeksu"/>
                <w:rFonts w:ascii="Times New Roman" w:hAnsi="Times New Roman" w:cs="Times New Roman"/>
                <w:b/>
              </w:rPr>
              <w:t>Drogi i transport</w:t>
            </w:r>
            <w:r w:rsidR="00887D84">
              <w:rPr>
                <w:webHidden/>
              </w:rPr>
              <w:fldChar w:fldCharType="begin"/>
            </w:r>
            <w:r w:rsidR="00887D84">
              <w:rPr>
                <w:webHidden/>
              </w:rPr>
              <w:instrText>PAGEREF _Toc116896676 \h</w:instrText>
            </w:r>
            <w:r w:rsidR="00887D84">
              <w:rPr>
                <w:webHidden/>
              </w:rPr>
            </w:r>
            <w:r w:rsidR="00887D84">
              <w:rPr>
                <w:webHidden/>
              </w:rPr>
              <w:fldChar w:fldCharType="separate"/>
            </w:r>
            <w:r w:rsidR="00887D84">
              <w:rPr>
                <w:rStyle w:val="czeindeksu"/>
              </w:rPr>
              <w:tab/>
              <w:t>29</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77">
            <w:r w:rsidR="00887D84">
              <w:rPr>
                <w:rStyle w:val="czeindeksu"/>
                <w:rFonts w:ascii="Times New Roman" w:hAnsi="Times New Roman" w:cs="Times New Roman"/>
                <w:b/>
                <w:webHidden/>
              </w:rPr>
              <w:t>1.4.2.</w:t>
            </w:r>
            <w:r w:rsidR="00887D84">
              <w:rPr>
                <w:rStyle w:val="czeindeksu"/>
                <w:rFonts w:eastAsiaTheme="minorEastAsia"/>
                <w:lang w:eastAsia="pl-PL"/>
              </w:rPr>
              <w:tab/>
            </w:r>
            <w:r w:rsidR="00887D84">
              <w:rPr>
                <w:rStyle w:val="czeindeksu"/>
                <w:rFonts w:ascii="Times New Roman" w:hAnsi="Times New Roman" w:cs="Times New Roman"/>
                <w:b/>
              </w:rPr>
              <w:t>Zasoby mieszkaniowe</w:t>
            </w:r>
            <w:r w:rsidR="00887D84">
              <w:rPr>
                <w:webHidden/>
              </w:rPr>
              <w:fldChar w:fldCharType="begin"/>
            </w:r>
            <w:r w:rsidR="00887D84">
              <w:rPr>
                <w:webHidden/>
              </w:rPr>
              <w:instrText>PAGEREF _Toc116896677 \h</w:instrText>
            </w:r>
            <w:r w:rsidR="00887D84">
              <w:rPr>
                <w:webHidden/>
              </w:rPr>
            </w:r>
            <w:r w:rsidR="00887D84">
              <w:rPr>
                <w:webHidden/>
              </w:rPr>
              <w:fldChar w:fldCharType="separate"/>
            </w:r>
            <w:r w:rsidR="00887D84">
              <w:rPr>
                <w:rStyle w:val="czeindeksu"/>
              </w:rPr>
              <w:tab/>
              <w:t>29</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78">
            <w:r w:rsidR="00887D84">
              <w:rPr>
                <w:rStyle w:val="czeindeksu"/>
                <w:rFonts w:ascii="Times New Roman" w:hAnsi="Times New Roman" w:cs="Times New Roman"/>
                <w:b/>
                <w:webHidden/>
              </w:rPr>
              <w:t>1.4.3.</w:t>
            </w:r>
            <w:r w:rsidR="00887D84">
              <w:rPr>
                <w:rStyle w:val="czeindeksu"/>
                <w:rFonts w:eastAsiaTheme="minorEastAsia"/>
                <w:lang w:eastAsia="pl-PL"/>
              </w:rPr>
              <w:tab/>
            </w:r>
            <w:r w:rsidR="00887D84">
              <w:rPr>
                <w:rStyle w:val="czeindeksu"/>
                <w:rFonts w:ascii="Times New Roman" w:hAnsi="Times New Roman" w:cs="Times New Roman"/>
                <w:b/>
              </w:rPr>
              <w:t>Infrastruktura sieciowa</w:t>
            </w:r>
            <w:r w:rsidR="00887D84">
              <w:rPr>
                <w:webHidden/>
              </w:rPr>
              <w:fldChar w:fldCharType="begin"/>
            </w:r>
            <w:r w:rsidR="00887D84">
              <w:rPr>
                <w:webHidden/>
              </w:rPr>
              <w:instrText>PAGEREF _Toc116896678 \h</w:instrText>
            </w:r>
            <w:r w:rsidR="00887D84">
              <w:rPr>
                <w:webHidden/>
              </w:rPr>
            </w:r>
            <w:r w:rsidR="00887D84">
              <w:rPr>
                <w:webHidden/>
              </w:rPr>
              <w:fldChar w:fldCharType="separate"/>
            </w:r>
            <w:r w:rsidR="00887D84">
              <w:rPr>
                <w:rStyle w:val="czeindeksu"/>
              </w:rPr>
              <w:tab/>
              <w:t>32</w:t>
            </w:r>
            <w:r w:rsidR="00887D84">
              <w:rPr>
                <w:webHidden/>
              </w:rPr>
              <w:fldChar w:fldCharType="end"/>
            </w:r>
          </w:hyperlink>
        </w:p>
        <w:p w:rsidR="00DC75FA" w:rsidRDefault="00A47575">
          <w:pPr>
            <w:pStyle w:val="Spistreci3"/>
            <w:tabs>
              <w:tab w:val="left" w:pos="1100"/>
              <w:tab w:val="right" w:leader="dot" w:pos="9628"/>
            </w:tabs>
            <w:rPr>
              <w:rFonts w:eastAsiaTheme="minorEastAsia"/>
              <w:lang w:eastAsia="pl-PL"/>
            </w:rPr>
          </w:pPr>
          <w:hyperlink w:anchor="_Toc116896679">
            <w:r w:rsidR="00887D84">
              <w:rPr>
                <w:rStyle w:val="czeindeksu"/>
                <w:rFonts w:ascii="Times New Roman" w:hAnsi="Times New Roman" w:cs="Times New Roman"/>
                <w:b/>
                <w:webHidden/>
              </w:rPr>
              <w:t>1.5.</w:t>
            </w:r>
            <w:r w:rsidR="00887D84">
              <w:rPr>
                <w:rStyle w:val="czeindeksu"/>
                <w:rFonts w:eastAsiaTheme="minorEastAsia"/>
                <w:lang w:eastAsia="pl-PL"/>
              </w:rPr>
              <w:tab/>
            </w:r>
            <w:r w:rsidR="00887D84">
              <w:rPr>
                <w:rStyle w:val="czeindeksu"/>
                <w:rFonts w:ascii="Times New Roman" w:hAnsi="Times New Roman" w:cs="Times New Roman"/>
                <w:b/>
              </w:rPr>
              <w:t>AKTYWNOŚĆ GOSPODARCZA</w:t>
            </w:r>
            <w:r w:rsidR="00887D84">
              <w:rPr>
                <w:webHidden/>
              </w:rPr>
              <w:fldChar w:fldCharType="begin"/>
            </w:r>
            <w:r w:rsidR="00887D84">
              <w:rPr>
                <w:webHidden/>
              </w:rPr>
              <w:instrText>PAGEREF _Toc116896679 \h</w:instrText>
            </w:r>
            <w:r w:rsidR="00887D84">
              <w:rPr>
                <w:webHidden/>
              </w:rPr>
            </w:r>
            <w:r w:rsidR="00887D84">
              <w:rPr>
                <w:webHidden/>
              </w:rPr>
              <w:fldChar w:fldCharType="separate"/>
            </w:r>
            <w:r w:rsidR="00887D84">
              <w:rPr>
                <w:rStyle w:val="czeindeksu"/>
              </w:rPr>
              <w:tab/>
              <w:t>35</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80">
            <w:r w:rsidR="00887D84">
              <w:rPr>
                <w:rStyle w:val="czeindeksu"/>
                <w:rFonts w:ascii="Times New Roman" w:hAnsi="Times New Roman" w:cs="Times New Roman"/>
                <w:b/>
                <w:webHidden/>
              </w:rPr>
              <w:t>1.5.1.</w:t>
            </w:r>
            <w:r w:rsidR="00887D84">
              <w:rPr>
                <w:rStyle w:val="czeindeksu"/>
                <w:rFonts w:eastAsiaTheme="minorEastAsia"/>
                <w:lang w:eastAsia="pl-PL"/>
              </w:rPr>
              <w:tab/>
            </w:r>
            <w:r w:rsidR="00887D84">
              <w:rPr>
                <w:rStyle w:val="czeindeksu"/>
                <w:rFonts w:ascii="Times New Roman" w:hAnsi="Times New Roman" w:cs="Times New Roman"/>
                <w:b/>
              </w:rPr>
              <w:t>Sektor rolniczy</w:t>
            </w:r>
            <w:r w:rsidR="00887D84">
              <w:rPr>
                <w:webHidden/>
              </w:rPr>
              <w:fldChar w:fldCharType="begin"/>
            </w:r>
            <w:r w:rsidR="00887D84">
              <w:rPr>
                <w:webHidden/>
              </w:rPr>
              <w:instrText>PAGEREF _Toc116896680 \h</w:instrText>
            </w:r>
            <w:r w:rsidR="00887D84">
              <w:rPr>
                <w:webHidden/>
              </w:rPr>
            </w:r>
            <w:r w:rsidR="00887D84">
              <w:rPr>
                <w:webHidden/>
              </w:rPr>
              <w:fldChar w:fldCharType="separate"/>
            </w:r>
            <w:r w:rsidR="00887D84">
              <w:rPr>
                <w:rStyle w:val="czeindeksu"/>
              </w:rPr>
              <w:tab/>
              <w:t>35</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81">
            <w:r w:rsidR="00887D84">
              <w:rPr>
                <w:rStyle w:val="czeindeksu"/>
                <w:rFonts w:ascii="Times New Roman" w:hAnsi="Times New Roman" w:cs="Times New Roman"/>
                <w:b/>
                <w:webHidden/>
              </w:rPr>
              <w:t>1.5.2.</w:t>
            </w:r>
            <w:r w:rsidR="00887D84">
              <w:rPr>
                <w:rStyle w:val="czeindeksu"/>
                <w:rFonts w:eastAsiaTheme="minorEastAsia"/>
                <w:lang w:eastAsia="pl-PL"/>
              </w:rPr>
              <w:tab/>
            </w:r>
            <w:r w:rsidR="00887D84">
              <w:rPr>
                <w:rStyle w:val="czeindeksu"/>
                <w:rFonts w:ascii="Times New Roman" w:hAnsi="Times New Roman" w:cs="Times New Roman"/>
                <w:b/>
              </w:rPr>
              <w:t>Sektor przedsiębiorstw</w:t>
            </w:r>
            <w:r w:rsidR="00887D84">
              <w:rPr>
                <w:webHidden/>
              </w:rPr>
              <w:fldChar w:fldCharType="begin"/>
            </w:r>
            <w:r w:rsidR="00887D84">
              <w:rPr>
                <w:webHidden/>
              </w:rPr>
              <w:instrText>PAGEREF _Toc116896681 \h</w:instrText>
            </w:r>
            <w:r w:rsidR="00887D84">
              <w:rPr>
                <w:webHidden/>
              </w:rPr>
            </w:r>
            <w:r w:rsidR="00887D84">
              <w:rPr>
                <w:webHidden/>
              </w:rPr>
              <w:fldChar w:fldCharType="separate"/>
            </w:r>
            <w:r w:rsidR="00887D84">
              <w:rPr>
                <w:rStyle w:val="czeindeksu"/>
              </w:rPr>
              <w:tab/>
              <w:t>36</w:t>
            </w:r>
            <w:r w:rsidR="00887D84">
              <w:rPr>
                <w:webHidden/>
              </w:rPr>
              <w:fldChar w:fldCharType="end"/>
            </w:r>
          </w:hyperlink>
        </w:p>
        <w:p w:rsidR="00DC75FA" w:rsidRDefault="00A47575">
          <w:pPr>
            <w:pStyle w:val="Spistreci3"/>
            <w:tabs>
              <w:tab w:val="left" w:pos="1100"/>
              <w:tab w:val="right" w:leader="dot" w:pos="9628"/>
            </w:tabs>
            <w:rPr>
              <w:rFonts w:eastAsiaTheme="minorEastAsia"/>
              <w:lang w:eastAsia="pl-PL"/>
            </w:rPr>
          </w:pPr>
          <w:hyperlink w:anchor="_Toc116896682">
            <w:r w:rsidR="00887D84">
              <w:rPr>
                <w:rStyle w:val="czeindeksu"/>
                <w:rFonts w:ascii="Times New Roman" w:hAnsi="Times New Roman" w:cs="Times New Roman"/>
                <w:b/>
                <w:webHidden/>
              </w:rPr>
              <w:t>1.6.</w:t>
            </w:r>
            <w:r w:rsidR="00887D84">
              <w:rPr>
                <w:rStyle w:val="czeindeksu"/>
                <w:rFonts w:eastAsiaTheme="minorEastAsia"/>
                <w:lang w:eastAsia="pl-PL"/>
              </w:rPr>
              <w:tab/>
            </w:r>
            <w:r w:rsidR="00887D84">
              <w:rPr>
                <w:rStyle w:val="czeindeksu"/>
                <w:rFonts w:ascii="Times New Roman" w:hAnsi="Times New Roman" w:cs="Times New Roman"/>
                <w:b/>
              </w:rPr>
              <w:t>KULTURA, WIZERUNEK I CZAS WOLNY</w:t>
            </w:r>
            <w:r w:rsidR="00887D84">
              <w:rPr>
                <w:webHidden/>
              </w:rPr>
              <w:fldChar w:fldCharType="begin"/>
            </w:r>
            <w:r w:rsidR="00887D84">
              <w:rPr>
                <w:webHidden/>
              </w:rPr>
              <w:instrText>PAGEREF _Toc116896682 \h</w:instrText>
            </w:r>
            <w:r w:rsidR="00887D84">
              <w:rPr>
                <w:webHidden/>
              </w:rPr>
            </w:r>
            <w:r w:rsidR="00887D84">
              <w:rPr>
                <w:webHidden/>
              </w:rPr>
              <w:fldChar w:fldCharType="separate"/>
            </w:r>
            <w:r w:rsidR="00887D84">
              <w:rPr>
                <w:rStyle w:val="czeindeksu"/>
              </w:rPr>
              <w:tab/>
              <w:t>47</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83">
            <w:r w:rsidR="00887D84">
              <w:rPr>
                <w:rStyle w:val="czeindeksu"/>
                <w:rFonts w:ascii="Times New Roman" w:hAnsi="Times New Roman" w:cs="Times New Roman"/>
                <w:b/>
                <w:webHidden/>
              </w:rPr>
              <w:t>1.6.1.</w:t>
            </w:r>
            <w:r w:rsidR="00887D84">
              <w:rPr>
                <w:rStyle w:val="czeindeksu"/>
                <w:rFonts w:eastAsiaTheme="minorEastAsia"/>
                <w:lang w:eastAsia="pl-PL"/>
              </w:rPr>
              <w:tab/>
            </w:r>
            <w:r w:rsidR="00887D84">
              <w:rPr>
                <w:rStyle w:val="czeindeksu"/>
                <w:rFonts w:ascii="Times New Roman" w:hAnsi="Times New Roman" w:cs="Times New Roman"/>
                <w:b/>
              </w:rPr>
              <w:t>Atrakcyjność turystyczna gminy</w:t>
            </w:r>
            <w:r w:rsidR="00887D84">
              <w:rPr>
                <w:webHidden/>
              </w:rPr>
              <w:fldChar w:fldCharType="begin"/>
            </w:r>
            <w:r w:rsidR="00887D84">
              <w:rPr>
                <w:webHidden/>
              </w:rPr>
              <w:instrText>PAGEREF _Toc116896683 \h</w:instrText>
            </w:r>
            <w:r w:rsidR="00887D84">
              <w:rPr>
                <w:webHidden/>
              </w:rPr>
            </w:r>
            <w:r w:rsidR="00887D84">
              <w:rPr>
                <w:webHidden/>
              </w:rPr>
              <w:fldChar w:fldCharType="separate"/>
            </w:r>
            <w:r w:rsidR="00887D84">
              <w:rPr>
                <w:rStyle w:val="czeindeksu"/>
              </w:rPr>
              <w:tab/>
              <w:t>47</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84">
            <w:r w:rsidR="00887D84">
              <w:rPr>
                <w:rStyle w:val="czeindeksu"/>
                <w:rFonts w:ascii="Times New Roman" w:hAnsi="Times New Roman" w:cs="Times New Roman"/>
                <w:b/>
                <w:webHidden/>
              </w:rPr>
              <w:t>1.6.2.</w:t>
            </w:r>
            <w:r w:rsidR="00887D84">
              <w:rPr>
                <w:rStyle w:val="czeindeksu"/>
                <w:rFonts w:eastAsiaTheme="minorEastAsia"/>
                <w:lang w:eastAsia="pl-PL"/>
              </w:rPr>
              <w:tab/>
            </w:r>
            <w:r w:rsidR="00887D84">
              <w:rPr>
                <w:rStyle w:val="czeindeksu"/>
                <w:rFonts w:ascii="Times New Roman" w:hAnsi="Times New Roman" w:cs="Times New Roman"/>
                <w:b/>
              </w:rPr>
              <w:t>Kultura, sport i organizacja czasu wolnego</w:t>
            </w:r>
            <w:r w:rsidR="00887D84">
              <w:rPr>
                <w:webHidden/>
              </w:rPr>
              <w:fldChar w:fldCharType="begin"/>
            </w:r>
            <w:r w:rsidR="00887D84">
              <w:rPr>
                <w:webHidden/>
              </w:rPr>
              <w:instrText>PAGEREF _Toc116896684 \h</w:instrText>
            </w:r>
            <w:r w:rsidR="00887D84">
              <w:rPr>
                <w:webHidden/>
              </w:rPr>
            </w:r>
            <w:r w:rsidR="00887D84">
              <w:rPr>
                <w:webHidden/>
              </w:rPr>
              <w:fldChar w:fldCharType="separate"/>
            </w:r>
            <w:r w:rsidR="00887D84">
              <w:rPr>
                <w:rStyle w:val="czeindeksu"/>
              </w:rPr>
              <w:tab/>
              <w:t>49</w:t>
            </w:r>
            <w:r w:rsidR="00887D84">
              <w:rPr>
                <w:webHidden/>
              </w:rPr>
              <w:fldChar w:fldCharType="end"/>
            </w:r>
          </w:hyperlink>
        </w:p>
        <w:p w:rsidR="00DC75FA" w:rsidRDefault="00A47575">
          <w:pPr>
            <w:pStyle w:val="Spistreci3"/>
            <w:tabs>
              <w:tab w:val="left" w:pos="1100"/>
              <w:tab w:val="right" w:leader="dot" w:pos="9628"/>
            </w:tabs>
            <w:rPr>
              <w:rFonts w:eastAsiaTheme="minorEastAsia"/>
              <w:lang w:eastAsia="pl-PL"/>
            </w:rPr>
          </w:pPr>
          <w:hyperlink w:anchor="_Toc116896685">
            <w:r w:rsidR="00887D84">
              <w:rPr>
                <w:rStyle w:val="czeindeksu"/>
                <w:rFonts w:ascii="Times New Roman" w:hAnsi="Times New Roman" w:cs="Times New Roman"/>
                <w:b/>
                <w:webHidden/>
              </w:rPr>
              <w:t>1.7.</w:t>
            </w:r>
            <w:r w:rsidR="00887D84">
              <w:rPr>
                <w:rStyle w:val="czeindeksu"/>
                <w:rFonts w:eastAsiaTheme="minorEastAsia"/>
                <w:lang w:eastAsia="pl-PL"/>
              </w:rPr>
              <w:tab/>
            </w:r>
            <w:r w:rsidR="00887D84">
              <w:rPr>
                <w:rStyle w:val="czeindeksu"/>
                <w:rFonts w:ascii="Times New Roman" w:hAnsi="Times New Roman" w:cs="Times New Roman"/>
                <w:b/>
              </w:rPr>
              <w:t>JAKOŚĆ ŻYCIA</w:t>
            </w:r>
            <w:r w:rsidR="00887D84">
              <w:rPr>
                <w:webHidden/>
              </w:rPr>
              <w:fldChar w:fldCharType="begin"/>
            </w:r>
            <w:r w:rsidR="00887D84">
              <w:rPr>
                <w:webHidden/>
              </w:rPr>
              <w:instrText>PAGEREF _Toc116896685 \h</w:instrText>
            </w:r>
            <w:r w:rsidR="00887D84">
              <w:rPr>
                <w:webHidden/>
              </w:rPr>
            </w:r>
            <w:r w:rsidR="00887D84">
              <w:rPr>
                <w:webHidden/>
              </w:rPr>
              <w:fldChar w:fldCharType="separate"/>
            </w:r>
            <w:r w:rsidR="00887D84">
              <w:rPr>
                <w:rStyle w:val="czeindeksu"/>
              </w:rPr>
              <w:tab/>
              <w:t>51</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86">
            <w:r w:rsidR="00887D84">
              <w:rPr>
                <w:rStyle w:val="czeindeksu"/>
                <w:rFonts w:ascii="Times New Roman" w:hAnsi="Times New Roman" w:cs="Times New Roman"/>
                <w:b/>
                <w:webHidden/>
              </w:rPr>
              <w:t>1.7.1.</w:t>
            </w:r>
            <w:r w:rsidR="00887D84">
              <w:rPr>
                <w:rStyle w:val="czeindeksu"/>
                <w:rFonts w:eastAsiaTheme="minorEastAsia"/>
                <w:lang w:eastAsia="pl-PL"/>
              </w:rPr>
              <w:tab/>
            </w:r>
            <w:r w:rsidR="00887D84">
              <w:rPr>
                <w:rStyle w:val="czeindeksu"/>
                <w:rFonts w:ascii="Times New Roman" w:hAnsi="Times New Roman" w:cs="Times New Roman"/>
                <w:b/>
              </w:rPr>
              <w:t>Środowisko naturalne</w:t>
            </w:r>
            <w:r w:rsidR="00887D84">
              <w:rPr>
                <w:webHidden/>
              </w:rPr>
              <w:fldChar w:fldCharType="begin"/>
            </w:r>
            <w:r w:rsidR="00887D84">
              <w:rPr>
                <w:webHidden/>
              </w:rPr>
              <w:instrText>PAGEREF _Toc116896686 \h</w:instrText>
            </w:r>
            <w:r w:rsidR="00887D84">
              <w:rPr>
                <w:webHidden/>
              </w:rPr>
            </w:r>
            <w:r w:rsidR="00887D84">
              <w:rPr>
                <w:webHidden/>
              </w:rPr>
              <w:fldChar w:fldCharType="separate"/>
            </w:r>
            <w:r w:rsidR="00887D84">
              <w:rPr>
                <w:rStyle w:val="czeindeksu"/>
              </w:rPr>
              <w:tab/>
              <w:t>51</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87">
            <w:r w:rsidR="00887D84">
              <w:rPr>
                <w:rStyle w:val="czeindeksu"/>
                <w:rFonts w:ascii="Times New Roman" w:hAnsi="Times New Roman" w:cs="Times New Roman"/>
                <w:b/>
                <w:webHidden/>
              </w:rPr>
              <w:t>1.7.2.</w:t>
            </w:r>
            <w:r w:rsidR="00887D84">
              <w:rPr>
                <w:rStyle w:val="czeindeksu"/>
                <w:rFonts w:eastAsiaTheme="minorEastAsia"/>
                <w:lang w:eastAsia="pl-PL"/>
              </w:rPr>
              <w:tab/>
            </w:r>
            <w:r w:rsidR="00887D84">
              <w:rPr>
                <w:rStyle w:val="czeindeksu"/>
                <w:rFonts w:ascii="Times New Roman" w:hAnsi="Times New Roman" w:cs="Times New Roman"/>
                <w:b/>
              </w:rPr>
              <w:t>Gospodarka w obiegu zamkniętym i odnawialne źródła energii</w:t>
            </w:r>
            <w:r w:rsidR="00887D84">
              <w:rPr>
                <w:webHidden/>
              </w:rPr>
              <w:fldChar w:fldCharType="begin"/>
            </w:r>
            <w:r w:rsidR="00887D84">
              <w:rPr>
                <w:webHidden/>
              </w:rPr>
              <w:instrText>PAGEREF _Toc116896687 \h</w:instrText>
            </w:r>
            <w:r w:rsidR="00887D84">
              <w:rPr>
                <w:webHidden/>
              </w:rPr>
            </w:r>
            <w:r w:rsidR="00887D84">
              <w:rPr>
                <w:webHidden/>
              </w:rPr>
              <w:fldChar w:fldCharType="separate"/>
            </w:r>
            <w:r w:rsidR="00887D84">
              <w:rPr>
                <w:rStyle w:val="czeindeksu"/>
              </w:rPr>
              <w:tab/>
              <w:t>54</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88">
            <w:r w:rsidR="00887D84">
              <w:rPr>
                <w:rStyle w:val="czeindeksu"/>
                <w:rFonts w:ascii="Times New Roman" w:hAnsi="Times New Roman" w:cs="Times New Roman"/>
                <w:b/>
                <w:webHidden/>
              </w:rPr>
              <w:t>1.7.3.</w:t>
            </w:r>
            <w:r w:rsidR="00887D84">
              <w:rPr>
                <w:rStyle w:val="czeindeksu"/>
                <w:rFonts w:eastAsiaTheme="minorEastAsia"/>
                <w:lang w:eastAsia="pl-PL"/>
              </w:rPr>
              <w:tab/>
            </w:r>
            <w:r w:rsidR="00887D84">
              <w:rPr>
                <w:rStyle w:val="czeindeksu"/>
                <w:rFonts w:ascii="Times New Roman" w:hAnsi="Times New Roman" w:cs="Times New Roman"/>
                <w:b/>
              </w:rPr>
              <w:t>Opieka zdrowotna i pomoc społeczna</w:t>
            </w:r>
            <w:r w:rsidR="00887D84">
              <w:rPr>
                <w:webHidden/>
              </w:rPr>
              <w:fldChar w:fldCharType="begin"/>
            </w:r>
            <w:r w:rsidR="00887D84">
              <w:rPr>
                <w:webHidden/>
              </w:rPr>
              <w:instrText>PAGEREF _Toc116896688 \h</w:instrText>
            </w:r>
            <w:r w:rsidR="00887D84">
              <w:rPr>
                <w:webHidden/>
              </w:rPr>
            </w:r>
            <w:r w:rsidR="00887D84">
              <w:rPr>
                <w:webHidden/>
              </w:rPr>
              <w:fldChar w:fldCharType="separate"/>
            </w:r>
            <w:r w:rsidR="00887D84">
              <w:rPr>
                <w:rStyle w:val="czeindeksu"/>
              </w:rPr>
              <w:tab/>
              <w:t>57</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89">
            <w:r w:rsidR="00887D84">
              <w:rPr>
                <w:rStyle w:val="czeindeksu"/>
                <w:rFonts w:ascii="Times New Roman" w:hAnsi="Times New Roman" w:cs="Times New Roman"/>
                <w:b/>
                <w:webHidden/>
              </w:rPr>
              <w:t>1.7.4.</w:t>
            </w:r>
            <w:r w:rsidR="00887D84">
              <w:rPr>
                <w:rStyle w:val="czeindeksu"/>
                <w:rFonts w:eastAsiaTheme="minorEastAsia"/>
                <w:lang w:eastAsia="pl-PL"/>
              </w:rPr>
              <w:tab/>
            </w:r>
            <w:r w:rsidR="00887D84">
              <w:rPr>
                <w:rStyle w:val="czeindeksu"/>
                <w:rFonts w:ascii="Times New Roman" w:hAnsi="Times New Roman" w:cs="Times New Roman"/>
                <w:b/>
              </w:rPr>
              <w:t>Bezpieczeństwo</w:t>
            </w:r>
            <w:r w:rsidR="00887D84">
              <w:rPr>
                <w:webHidden/>
              </w:rPr>
              <w:fldChar w:fldCharType="begin"/>
            </w:r>
            <w:r w:rsidR="00887D84">
              <w:rPr>
                <w:webHidden/>
              </w:rPr>
              <w:instrText>PAGEREF _Toc116896689 \h</w:instrText>
            </w:r>
            <w:r w:rsidR="00887D84">
              <w:rPr>
                <w:webHidden/>
              </w:rPr>
            </w:r>
            <w:r w:rsidR="00887D84">
              <w:rPr>
                <w:webHidden/>
              </w:rPr>
              <w:fldChar w:fldCharType="separate"/>
            </w:r>
            <w:r w:rsidR="00887D84">
              <w:rPr>
                <w:rStyle w:val="czeindeksu"/>
              </w:rPr>
              <w:tab/>
              <w:t>60</w:t>
            </w:r>
            <w:r w:rsidR="00887D84">
              <w:rPr>
                <w:webHidden/>
              </w:rPr>
              <w:fldChar w:fldCharType="end"/>
            </w:r>
          </w:hyperlink>
        </w:p>
        <w:p w:rsidR="00DC75FA" w:rsidRDefault="00A47575">
          <w:pPr>
            <w:pStyle w:val="Spistreci3"/>
            <w:tabs>
              <w:tab w:val="left" w:pos="1100"/>
              <w:tab w:val="right" w:leader="dot" w:pos="9628"/>
            </w:tabs>
            <w:rPr>
              <w:rFonts w:eastAsiaTheme="minorEastAsia"/>
              <w:lang w:eastAsia="pl-PL"/>
            </w:rPr>
          </w:pPr>
          <w:hyperlink w:anchor="_Toc116896690">
            <w:r w:rsidR="00887D84">
              <w:rPr>
                <w:rStyle w:val="czeindeksu"/>
                <w:rFonts w:ascii="Times New Roman" w:hAnsi="Times New Roman" w:cs="Times New Roman"/>
                <w:b/>
                <w:webHidden/>
              </w:rPr>
              <w:t>1.8.</w:t>
            </w:r>
            <w:r w:rsidR="00887D84">
              <w:rPr>
                <w:rStyle w:val="czeindeksu"/>
                <w:rFonts w:eastAsiaTheme="minorEastAsia"/>
                <w:lang w:eastAsia="pl-PL"/>
              </w:rPr>
              <w:tab/>
            </w:r>
            <w:r w:rsidR="00887D84">
              <w:rPr>
                <w:rStyle w:val="czeindeksu"/>
                <w:rFonts w:ascii="Times New Roman" w:hAnsi="Times New Roman" w:cs="Times New Roman"/>
                <w:b/>
              </w:rPr>
              <w:t>FINANSE SAMORZĄDU</w:t>
            </w:r>
            <w:r w:rsidR="00887D84">
              <w:rPr>
                <w:webHidden/>
              </w:rPr>
              <w:fldChar w:fldCharType="begin"/>
            </w:r>
            <w:r w:rsidR="00887D84">
              <w:rPr>
                <w:webHidden/>
              </w:rPr>
              <w:instrText>PAGEREF _Toc116896690 \h</w:instrText>
            </w:r>
            <w:r w:rsidR="00887D84">
              <w:rPr>
                <w:webHidden/>
              </w:rPr>
            </w:r>
            <w:r w:rsidR="00887D84">
              <w:rPr>
                <w:webHidden/>
              </w:rPr>
              <w:fldChar w:fldCharType="separate"/>
            </w:r>
            <w:r w:rsidR="00887D84">
              <w:rPr>
                <w:rStyle w:val="czeindeksu"/>
              </w:rPr>
              <w:tab/>
              <w:t>62</w:t>
            </w:r>
            <w:r w:rsidR="00887D84">
              <w:rPr>
                <w:webHidden/>
              </w:rPr>
              <w:fldChar w:fldCharType="end"/>
            </w:r>
          </w:hyperlink>
        </w:p>
        <w:p w:rsidR="00DC75FA" w:rsidRDefault="00A47575">
          <w:pPr>
            <w:pStyle w:val="Spistreci4"/>
            <w:tabs>
              <w:tab w:val="left" w:pos="1540"/>
              <w:tab w:val="right" w:leader="dot" w:pos="9628"/>
            </w:tabs>
            <w:rPr>
              <w:rFonts w:eastAsiaTheme="minorEastAsia"/>
              <w:lang w:eastAsia="pl-PL"/>
            </w:rPr>
          </w:pPr>
          <w:hyperlink w:anchor="_Toc116896691">
            <w:r w:rsidR="00887D84">
              <w:rPr>
                <w:rStyle w:val="czeindeksu"/>
                <w:rFonts w:ascii="Times New Roman" w:hAnsi="Times New Roman" w:cs="Times New Roman"/>
                <w:b/>
                <w:webHidden/>
              </w:rPr>
              <w:t>1.8.1.</w:t>
            </w:r>
            <w:r w:rsidR="00887D84">
              <w:rPr>
                <w:rStyle w:val="czeindeksu"/>
                <w:rFonts w:eastAsiaTheme="minorEastAsia"/>
                <w:lang w:eastAsia="pl-PL"/>
              </w:rPr>
              <w:tab/>
            </w:r>
            <w:r w:rsidR="00887D84">
              <w:rPr>
                <w:rStyle w:val="czeindeksu"/>
                <w:rFonts w:ascii="Times New Roman" w:hAnsi="Times New Roman" w:cs="Times New Roman"/>
                <w:b/>
              </w:rPr>
              <w:t>Zrealizowany budżet JST</w:t>
            </w:r>
            <w:r w:rsidR="00887D84">
              <w:rPr>
                <w:webHidden/>
              </w:rPr>
              <w:fldChar w:fldCharType="begin"/>
            </w:r>
            <w:r w:rsidR="00887D84">
              <w:rPr>
                <w:webHidden/>
              </w:rPr>
              <w:instrText>PAGEREF _Toc116896691 \h</w:instrText>
            </w:r>
            <w:r w:rsidR="00887D84">
              <w:rPr>
                <w:webHidden/>
              </w:rPr>
            </w:r>
            <w:r w:rsidR="00887D84">
              <w:rPr>
                <w:webHidden/>
              </w:rPr>
              <w:fldChar w:fldCharType="separate"/>
            </w:r>
            <w:r w:rsidR="00887D84">
              <w:rPr>
                <w:rStyle w:val="czeindeksu"/>
              </w:rPr>
              <w:tab/>
              <w:t>62</w:t>
            </w:r>
            <w:r w:rsidR="00887D84">
              <w:rPr>
                <w:webHidden/>
              </w:rPr>
              <w:fldChar w:fldCharType="end"/>
            </w:r>
          </w:hyperlink>
        </w:p>
        <w:p w:rsidR="00DC75FA" w:rsidRDefault="00A47575">
          <w:pPr>
            <w:pStyle w:val="Spistreci3"/>
            <w:tabs>
              <w:tab w:val="left" w:pos="880"/>
              <w:tab w:val="right" w:leader="dot" w:pos="9628"/>
            </w:tabs>
            <w:rPr>
              <w:rFonts w:eastAsiaTheme="minorEastAsia"/>
              <w:lang w:eastAsia="pl-PL"/>
            </w:rPr>
          </w:pPr>
          <w:hyperlink w:anchor="_Toc116896692">
            <w:r w:rsidR="00887D84">
              <w:rPr>
                <w:rStyle w:val="czeindeksu"/>
                <w:rFonts w:ascii="Times New Roman" w:hAnsi="Times New Roman" w:cs="Times New Roman"/>
                <w:b/>
                <w:webHidden/>
              </w:rPr>
              <w:t>2.</w:t>
            </w:r>
            <w:r w:rsidR="00887D84">
              <w:rPr>
                <w:rStyle w:val="czeindeksu"/>
                <w:rFonts w:eastAsiaTheme="minorEastAsia"/>
                <w:lang w:eastAsia="pl-PL"/>
              </w:rPr>
              <w:tab/>
            </w:r>
            <w:r w:rsidR="00887D84">
              <w:rPr>
                <w:rStyle w:val="czeindeksu"/>
                <w:rFonts w:ascii="Times New Roman" w:hAnsi="Times New Roman" w:cs="Times New Roman"/>
                <w:b/>
              </w:rPr>
              <w:t>SYNTEZA DIAGNOZY OBECNEJ SYTUACJI OBSZARU FUNKCJONALNEGO</w:t>
            </w:r>
            <w:r w:rsidR="00887D84">
              <w:rPr>
                <w:webHidden/>
              </w:rPr>
              <w:fldChar w:fldCharType="begin"/>
            </w:r>
            <w:r w:rsidR="00887D84">
              <w:rPr>
                <w:webHidden/>
              </w:rPr>
              <w:instrText>PAGEREF _Toc116896692 \h</w:instrText>
            </w:r>
            <w:r w:rsidR="00887D84">
              <w:rPr>
                <w:webHidden/>
              </w:rPr>
            </w:r>
            <w:r w:rsidR="00887D84">
              <w:rPr>
                <w:webHidden/>
              </w:rPr>
              <w:fldChar w:fldCharType="separate"/>
            </w:r>
            <w:r w:rsidR="00887D84">
              <w:rPr>
                <w:rStyle w:val="czeindeksu"/>
              </w:rPr>
              <w:tab/>
              <w:t>67</w:t>
            </w:r>
            <w:r w:rsidR="00887D84">
              <w:rPr>
                <w:webHidden/>
              </w:rPr>
              <w:fldChar w:fldCharType="end"/>
            </w:r>
          </w:hyperlink>
        </w:p>
        <w:p w:rsidR="00DC75FA" w:rsidRDefault="00A47575">
          <w:pPr>
            <w:pStyle w:val="Spistreci2"/>
            <w:tabs>
              <w:tab w:val="right" w:leader="dot" w:pos="9628"/>
            </w:tabs>
            <w:rPr>
              <w:rFonts w:eastAsiaTheme="minorEastAsia"/>
              <w:lang w:eastAsia="pl-PL"/>
            </w:rPr>
          </w:pPr>
          <w:hyperlink w:anchor="_Toc116896693">
            <w:r w:rsidR="00887D84">
              <w:rPr>
                <w:rStyle w:val="czeindeksu"/>
                <w:rFonts w:ascii="Times New Roman" w:hAnsi="Times New Roman" w:cs="Times New Roman"/>
                <w:b/>
                <w:webHidden/>
              </w:rPr>
              <w:t>Spis tabel</w:t>
            </w:r>
            <w:r w:rsidR="00887D84">
              <w:rPr>
                <w:webHidden/>
              </w:rPr>
              <w:fldChar w:fldCharType="begin"/>
            </w:r>
            <w:r w:rsidR="00887D84">
              <w:rPr>
                <w:webHidden/>
              </w:rPr>
              <w:instrText>PAGEREF _Toc116896693 \h</w:instrText>
            </w:r>
            <w:r w:rsidR="00887D84">
              <w:rPr>
                <w:webHidden/>
              </w:rPr>
            </w:r>
            <w:r w:rsidR="00887D84">
              <w:rPr>
                <w:webHidden/>
              </w:rPr>
              <w:fldChar w:fldCharType="separate"/>
            </w:r>
            <w:r w:rsidR="00887D84">
              <w:rPr>
                <w:rStyle w:val="czeindeksu"/>
              </w:rPr>
              <w:tab/>
              <w:t>71</w:t>
            </w:r>
            <w:r w:rsidR="00887D84">
              <w:rPr>
                <w:webHidden/>
              </w:rPr>
              <w:fldChar w:fldCharType="end"/>
            </w:r>
          </w:hyperlink>
        </w:p>
        <w:p w:rsidR="00DC75FA" w:rsidRDefault="00A47575">
          <w:pPr>
            <w:pStyle w:val="Spistreci2"/>
            <w:tabs>
              <w:tab w:val="right" w:leader="dot" w:pos="9628"/>
            </w:tabs>
            <w:rPr>
              <w:rFonts w:eastAsiaTheme="minorEastAsia"/>
              <w:lang w:eastAsia="pl-PL"/>
            </w:rPr>
          </w:pPr>
          <w:hyperlink w:anchor="_Toc116896694">
            <w:r w:rsidR="00887D84">
              <w:rPr>
                <w:rStyle w:val="czeindeksu"/>
                <w:rFonts w:ascii="Times New Roman" w:hAnsi="Times New Roman" w:cs="Times New Roman"/>
                <w:b/>
                <w:webHidden/>
              </w:rPr>
              <w:t>Spis rysunków</w:t>
            </w:r>
            <w:r w:rsidR="00887D84">
              <w:rPr>
                <w:webHidden/>
              </w:rPr>
              <w:fldChar w:fldCharType="begin"/>
            </w:r>
            <w:r w:rsidR="00887D84">
              <w:rPr>
                <w:webHidden/>
              </w:rPr>
              <w:instrText>PAGEREF _Toc116896694 \h</w:instrText>
            </w:r>
            <w:r w:rsidR="00887D84">
              <w:rPr>
                <w:webHidden/>
              </w:rPr>
            </w:r>
            <w:r w:rsidR="00887D84">
              <w:rPr>
                <w:webHidden/>
              </w:rPr>
              <w:fldChar w:fldCharType="separate"/>
            </w:r>
            <w:r w:rsidR="00887D84">
              <w:rPr>
                <w:rStyle w:val="czeindeksu"/>
              </w:rPr>
              <w:tab/>
              <w:t>71</w:t>
            </w:r>
            <w:r w:rsidR="00887D84">
              <w:rPr>
                <w:webHidden/>
              </w:rPr>
              <w:fldChar w:fldCharType="end"/>
            </w:r>
          </w:hyperlink>
        </w:p>
        <w:p w:rsidR="00DC75FA" w:rsidRDefault="00A47575">
          <w:pPr>
            <w:pStyle w:val="Spistreci2"/>
            <w:tabs>
              <w:tab w:val="right" w:leader="dot" w:pos="9628"/>
            </w:tabs>
            <w:rPr>
              <w:rFonts w:eastAsiaTheme="minorEastAsia"/>
              <w:lang w:eastAsia="pl-PL"/>
            </w:rPr>
          </w:pPr>
          <w:hyperlink w:anchor="_Toc116896695">
            <w:r w:rsidR="00887D84">
              <w:rPr>
                <w:rStyle w:val="czeindeksu"/>
                <w:rFonts w:ascii="Times New Roman" w:hAnsi="Times New Roman" w:cs="Times New Roman"/>
                <w:b/>
                <w:webHidden/>
              </w:rPr>
              <w:t>Spis wykresów</w:t>
            </w:r>
            <w:r w:rsidR="00887D84">
              <w:rPr>
                <w:webHidden/>
              </w:rPr>
              <w:fldChar w:fldCharType="begin"/>
            </w:r>
            <w:r w:rsidR="00887D84">
              <w:rPr>
                <w:webHidden/>
              </w:rPr>
              <w:instrText>PAGEREF _Toc116896695 \h</w:instrText>
            </w:r>
            <w:r w:rsidR="00887D84">
              <w:rPr>
                <w:webHidden/>
              </w:rPr>
            </w:r>
            <w:r w:rsidR="00887D84">
              <w:rPr>
                <w:webHidden/>
              </w:rPr>
              <w:fldChar w:fldCharType="separate"/>
            </w:r>
            <w:r w:rsidR="00887D84">
              <w:rPr>
                <w:rStyle w:val="czeindeksu"/>
              </w:rPr>
              <w:tab/>
              <w:t>71</w:t>
            </w:r>
            <w:r w:rsidR="00887D84">
              <w:rPr>
                <w:webHidden/>
              </w:rPr>
              <w:fldChar w:fldCharType="end"/>
            </w:r>
          </w:hyperlink>
        </w:p>
        <w:p w:rsidR="00DC75FA" w:rsidRDefault="00887D84">
          <w:pPr>
            <w:pStyle w:val="Bezodstpw"/>
            <w:spacing w:line="276" w:lineRule="auto"/>
            <w:contextualSpacing/>
            <w:rPr>
              <w:rFonts w:ascii="Times New Roman" w:hAnsi="Times New Roman" w:cs="Times New Roman"/>
              <w:szCs w:val="24"/>
            </w:rPr>
          </w:pPr>
          <w:r>
            <w:rPr>
              <w:rFonts w:ascii="Times New Roman" w:hAnsi="Times New Roman" w:cs="Times New Roman"/>
              <w:szCs w:val="24"/>
            </w:rPr>
            <w:fldChar w:fldCharType="end"/>
          </w:r>
        </w:p>
      </w:sdtContent>
    </w:sdt>
    <w:p w:rsidR="00DC75FA" w:rsidRDefault="00887D84">
      <w:pPr>
        <w:rPr>
          <w:rFonts w:ascii="Times New Roman" w:hAnsi="Times New Roman" w:cs="Times New Roman"/>
        </w:rPr>
      </w:pPr>
      <w:r>
        <w:br w:type="page"/>
      </w:r>
      <w:r>
        <w:rPr>
          <w:rFonts w:ascii="Times New Roman" w:hAnsi="Times New Roman" w:cs="Times New Roman"/>
        </w:rPr>
        <w:lastRenderedPageBreak/>
        <w:t>Wykaz stosowanych skrótów</w:t>
      </w:r>
    </w:p>
    <w:p w:rsidR="00DC75FA" w:rsidRDefault="00DC75FA">
      <w:pPr>
        <w:rPr>
          <w:rFonts w:ascii="Times New Roman" w:hAnsi="Times New Roman" w:cs="Times New Roman"/>
          <w:highlight w:val="yellow"/>
        </w:rPr>
      </w:pPr>
    </w:p>
    <w:tbl>
      <w:tblPr>
        <w:tblStyle w:val="Tabela-Siatka"/>
        <w:tblW w:w="9062" w:type="dxa"/>
        <w:tblLook w:val="04A0" w:firstRow="1" w:lastRow="0" w:firstColumn="1" w:lastColumn="0" w:noHBand="0" w:noVBand="1"/>
      </w:tblPr>
      <w:tblGrid>
        <w:gridCol w:w="1700"/>
        <w:gridCol w:w="7362"/>
      </w:tblGrid>
      <w:tr w:rsidR="00DC75FA">
        <w:tc>
          <w:tcPr>
            <w:tcW w:w="1700" w:type="dxa"/>
            <w:tcBorders>
              <w:top w:val="nil"/>
              <w:left w:val="nil"/>
              <w:bottom w:val="nil"/>
              <w:right w:val="nil"/>
            </w:tcBorders>
            <w:shd w:val="clear" w:color="auto" w:fill="auto"/>
            <w:vAlign w:val="center"/>
          </w:tcPr>
          <w:p w:rsidR="00DC75FA" w:rsidRDefault="00887D84">
            <w:pPr>
              <w:spacing w:after="0" w:line="240" w:lineRule="auto"/>
              <w:rPr>
                <w:rFonts w:ascii="Times New Roman" w:hAnsi="Times New Roman" w:cs="Times New Roman"/>
              </w:rPr>
            </w:pPr>
            <w:r>
              <w:rPr>
                <w:rFonts w:ascii="Times New Roman" w:hAnsi="Times New Roman" w:cs="Times New Roman"/>
              </w:rPr>
              <w:t>BDL</w:t>
            </w:r>
          </w:p>
        </w:tc>
        <w:tc>
          <w:tcPr>
            <w:tcW w:w="7361" w:type="dxa"/>
            <w:tcBorders>
              <w:top w:val="nil"/>
              <w:left w:val="nil"/>
              <w:bottom w:val="nil"/>
              <w:right w:val="nil"/>
            </w:tcBorders>
            <w:shd w:val="clear" w:color="auto" w:fill="auto"/>
          </w:tcPr>
          <w:p w:rsidR="00DC75FA" w:rsidRDefault="00887D84">
            <w:pPr>
              <w:spacing w:after="0" w:line="240" w:lineRule="auto"/>
              <w:rPr>
                <w:rFonts w:ascii="Times New Roman" w:hAnsi="Times New Roman" w:cs="Times New Roman"/>
              </w:rPr>
            </w:pPr>
            <w:r>
              <w:rPr>
                <w:rFonts w:ascii="Times New Roman" w:hAnsi="Times New Roman" w:cs="Times New Roman"/>
              </w:rPr>
              <w:t>Bank Danych Lokalnych Głównego Urzędu Statystycznego</w:t>
            </w:r>
          </w:p>
        </w:tc>
      </w:tr>
      <w:tr w:rsidR="00DC75FA">
        <w:tc>
          <w:tcPr>
            <w:tcW w:w="1700" w:type="dxa"/>
            <w:tcBorders>
              <w:top w:val="nil"/>
              <w:left w:val="nil"/>
              <w:bottom w:val="nil"/>
              <w:right w:val="nil"/>
            </w:tcBorders>
            <w:shd w:val="clear" w:color="auto" w:fill="auto"/>
            <w:vAlign w:val="center"/>
          </w:tcPr>
          <w:p w:rsidR="00DC75FA" w:rsidRDefault="00887D84">
            <w:pPr>
              <w:spacing w:after="0" w:line="240" w:lineRule="auto"/>
              <w:rPr>
                <w:rFonts w:ascii="Times New Roman" w:hAnsi="Times New Roman" w:cs="Times New Roman"/>
              </w:rPr>
            </w:pPr>
            <w:r>
              <w:rPr>
                <w:rFonts w:ascii="Times New Roman" w:hAnsi="Times New Roman" w:cs="Times New Roman"/>
              </w:rPr>
              <w:t>GUS</w:t>
            </w:r>
          </w:p>
        </w:tc>
        <w:tc>
          <w:tcPr>
            <w:tcW w:w="7361" w:type="dxa"/>
            <w:tcBorders>
              <w:top w:val="nil"/>
              <w:left w:val="nil"/>
              <w:bottom w:val="nil"/>
              <w:right w:val="nil"/>
            </w:tcBorders>
            <w:shd w:val="clear" w:color="auto" w:fill="auto"/>
          </w:tcPr>
          <w:p w:rsidR="00DC75FA" w:rsidRDefault="00887D84">
            <w:pPr>
              <w:spacing w:after="0" w:line="240" w:lineRule="auto"/>
              <w:rPr>
                <w:rFonts w:ascii="Times New Roman" w:hAnsi="Times New Roman" w:cs="Times New Roman"/>
              </w:rPr>
            </w:pPr>
            <w:r>
              <w:rPr>
                <w:rFonts w:ascii="Times New Roman" w:hAnsi="Times New Roman" w:cs="Times New Roman"/>
              </w:rPr>
              <w:t>Główny Urząd Statystyczny</w:t>
            </w:r>
          </w:p>
        </w:tc>
      </w:tr>
      <w:tr w:rsidR="00DC75FA">
        <w:tc>
          <w:tcPr>
            <w:tcW w:w="1700" w:type="dxa"/>
            <w:tcBorders>
              <w:top w:val="nil"/>
              <w:left w:val="nil"/>
              <w:bottom w:val="nil"/>
              <w:right w:val="nil"/>
            </w:tcBorders>
            <w:shd w:val="clear" w:color="auto" w:fill="auto"/>
            <w:vAlign w:val="center"/>
          </w:tcPr>
          <w:p w:rsidR="00DC75FA" w:rsidRDefault="00887D84">
            <w:pPr>
              <w:spacing w:after="0" w:line="240" w:lineRule="auto"/>
              <w:rPr>
                <w:rFonts w:ascii="Times New Roman" w:hAnsi="Times New Roman" w:cs="Times New Roman"/>
              </w:rPr>
            </w:pPr>
            <w:r>
              <w:rPr>
                <w:rFonts w:ascii="Times New Roman" w:hAnsi="Times New Roman" w:cs="Times New Roman"/>
              </w:rPr>
              <w:t>JST</w:t>
            </w:r>
          </w:p>
        </w:tc>
        <w:tc>
          <w:tcPr>
            <w:tcW w:w="7361" w:type="dxa"/>
            <w:tcBorders>
              <w:top w:val="nil"/>
              <w:left w:val="nil"/>
              <w:bottom w:val="nil"/>
              <w:right w:val="nil"/>
            </w:tcBorders>
            <w:shd w:val="clear" w:color="auto" w:fill="auto"/>
          </w:tcPr>
          <w:p w:rsidR="00DC75FA" w:rsidRDefault="00887D84">
            <w:pPr>
              <w:spacing w:after="0" w:line="240" w:lineRule="auto"/>
              <w:rPr>
                <w:rFonts w:ascii="Times New Roman" w:hAnsi="Times New Roman" w:cs="Times New Roman"/>
              </w:rPr>
            </w:pPr>
            <w:r>
              <w:rPr>
                <w:rFonts w:ascii="Times New Roman" w:hAnsi="Times New Roman" w:cs="Times New Roman"/>
              </w:rPr>
              <w:t>Jednostka samorządu terytorialnego</w:t>
            </w:r>
          </w:p>
        </w:tc>
      </w:tr>
      <w:tr w:rsidR="00DC75FA">
        <w:tc>
          <w:tcPr>
            <w:tcW w:w="1700" w:type="dxa"/>
            <w:tcBorders>
              <w:top w:val="nil"/>
              <w:left w:val="nil"/>
              <w:bottom w:val="nil"/>
              <w:right w:val="nil"/>
            </w:tcBorders>
            <w:shd w:val="clear" w:color="auto" w:fill="auto"/>
            <w:vAlign w:val="center"/>
          </w:tcPr>
          <w:p w:rsidR="00DC75FA" w:rsidRDefault="00887D84">
            <w:pPr>
              <w:spacing w:after="0" w:line="240" w:lineRule="auto"/>
              <w:rPr>
                <w:rFonts w:ascii="Times New Roman" w:hAnsi="Times New Roman" w:cs="Times New Roman"/>
              </w:rPr>
            </w:pPr>
            <w:r>
              <w:rPr>
                <w:rFonts w:ascii="Times New Roman" w:hAnsi="Times New Roman" w:cs="Times New Roman"/>
              </w:rPr>
              <w:t>KPP</w:t>
            </w:r>
          </w:p>
        </w:tc>
        <w:tc>
          <w:tcPr>
            <w:tcW w:w="7361" w:type="dxa"/>
            <w:tcBorders>
              <w:top w:val="nil"/>
              <w:left w:val="nil"/>
              <w:bottom w:val="nil"/>
              <w:right w:val="nil"/>
            </w:tcBorders>
            <w:shd w:val="clear" w:color="auto" w:fill="auto"/>
          </w:tcPr>
          <w:p w:rsidR="00DC75FA" w:rsidRDefault="00887D84">
            <w:pPr>
              <w:spacing w:after="0" w:line="240" w:lineRule="auto"/>
              <w:rPr>
                <w:rFonts w:ascii="Times New Roman" w:hAnsi="Times New Roman" w:cs="Times New Roman"/>
              </w:rPr>
            </w:pPr>
            <w:r>
              <w:rPr>
                <w:rFonts w:ascii="Times New Roman" w:hAnsi="Times New Roman" w:cs="Times New Roman"/>
              </w:rPr>
              <w:t>Komenda Powiatowa Policji</w:t>
            </w:r>
          </w:p>
        </w:tc>
      </w:tr>
      <w:tr w:rsidR="00DC75FA">
        <w:tc>
          <w:tcPr>
            <w:tcW w:w="1700" w:type="dxa"/>
            <w:tcBorders>
              <w:top w:val="nil"/>
              <w:left w:val="nil"/>
              <w:bottom w:val="nil"/>
              <w:right w:val="nil"/>
            </w:tcBorders>
            <w:shd w:val="clear" w:color="auto" w:fill="auto"/>
            <w:vAlign w:val="center"/>
          </w:tcPr>
          <w:p w:rsidR="00DC75FA" w:rsidRDefault="00887D84">
            <w:pPr>
              <w:spacing w:after="0" w:line="240" w:lineRule="auto"/>
              <w:rPr>
                <w:rFonts w:ascii="Times New Roman" w:hAnsi="Times New Roman" w:cs="Times New Roman"/>
              </w:rPr>
            </w:pPr>
            <w:r>
              <w:rPr>
                <w:rFonts w:ascii="Times New Roman" w:hAnsi="Times New Roman" w:cs="Times New Roman"/>
              </w:rPr>
              <w:t>OF</w:t>
            </w:r>
          </w:p>
        </w:tc>
        <w:tc>
          <w:tcPr>
            <w:tcW w:w="7361" w:type="dxa"/>
            <w:tcBorders>
              <w:top w:val="nil"/>
              <w:left w:val="nil"/>
              <w:bottom w:val="nil"/>
              <w:right w:val="nil"/>
            </w:tcBorders>
            <w:shd w:val="clear" w:color="auto" w:fill="auto"/>
          </w:tcPr>
          <w:p w:rsidR="00DC75FA" w:rsidRDefault="00887D84">
            <w:pPr>
              <w:spacing w:after="0" w:line="240" w:lineRule="auto"/>
              <w:rPr>
                <w:rFonts w:ascii="Times New Roman" w:hAnsi="Times New Roman" w:cs="Times New Roman"/>
              </w:rPr>
            </w:pPr>
            <w:r>
              <w:rPr>
                <w:rFonts w:ascii="Times New Roman" w:hAnsi="Times New Roman" w:cs="Times New Roman"/>
              </w:rPr>
              <w:t>Obszar Funkcjonalny obejmujący Gminę Cyców, Gminę Ludwin, Gminę Milejów, Gminę Puchaczów, Gminę Urszulin</w:t>
            </w:r>
          </w:p>
        </w:tc>
      </w:tr>
      <w:tr w:rsidR="00DC75FA">
        <w:trPr>
          <w:trHeight w:val="372"/>
        </w:trPr>
        <w:tc>
          <w:tcPr>
            <w:tcW w:w="1700" w:type="dxa"/>
            <w:tcBorders>
              <w:top w:val="nil"/>
              <w:left w:val="nil"/>
              <w:bottom w:val="nil"/>
              <w:right w:val="nil"/>
            </w:tcBorders>
            <w:shd w:val="clear" w:color="auto" w:fill="auto"/>
            <w:vAlign w:val="center"/>
          </w:tcPr>
          <w:p w:rsidR="00DC75FA" w:rsidRDefault="00887D84">
            <w:pPr>
              <w:spacing w:after="0" w:line="240" w:lineRule="auto"/>
              <w:rPr>
                <w:rFonts w:ascii="Times New Roman" w:hAnsi="Times New Roman" w:cs="Times New Roman"/>
              </w:rPr>
            </w:pPr>
            <w:r>
              <w:rPr>
                <w:rFonts w:ascii="Times New Roman" w:hAnsi="Times New Roman" w:cs="Times New Roman"/>
              </w:rPr>
              <w:t>OSP</w:t>
            </w:r>
          </w:p>
        </w:tc>
        <w:tc>
          <w:tcPr>
            <w:tcW w:w="7361" w:type="dxa"/>
            <w:tcBorders>
              <w:top w:val="nil"/>
              <w:left w:val="nil"/>
              <w:bottom w:val="nil"/>
              <w:right w:val="nil"/>
            </w:tcBorders>
            <w:shd w:val="clear" w:color="auto" w:fill="auto"/>
          </w:tcPr>
          <w:p w:rsidR="00DC75FA" w:rsidRDefault="00887D84">
            <w:pPr>
              <w:spacing w:after="0" w:line="240" w:lineRule="auto"/>
              <w:rPr>
                <w:rFonts w:ascii="Times New Roman" w:hAnsi="Times New Roman" w:cs="Times New Roman"/>
              </w:rPr>
            </w:pPr>
            <w:r>
              <w:rPr>
                <w:rFonts w:ascii="Times New Roman" w:hAnsi="Times New Roman" w:cs="Times New Roman"/>
              </w:rPr>
              <w:t>Ochotnicza Straż Pożarna</w:t>
            </w:r>
          </w:p>
        </w:tc>
      </w:tr>
      <w:tr w:rsidR="00DC75FA">
        <w:tc>
          <w:tcPr>
            <w:tcW w:w="1700" w:type="dxa"/>
            <w:tcBorders>
              <w:top w:val="nil"/>
              <w:left w:val="nil"/>
              <w:bottom w:val="nil"/>
              <w:right w:val="nil"/>
            </w:tcBorders>
            <w:shd w:val="clear" w:color="auto" w:fill="auto"/>
            <w:vAlign w:val="center"/>
          </w:tcPr>
          <w:p w:rsidR="00DC75FA" w:rsidRDefault="00887D84">
            <w:pPr>
              <w:spacing w:after="0" w:line="240" w:lineRule="auto"/>
              <w:rPr>
                <w:rFonts w:ascii="Times New Roman" w:hAnsi="Times New Roman" w:cs="Times New Roman"/>
              </w:rPr>
            </w:pPr>
            <w:r>
              <w:rPr>
                <w:rFonts w:ascii="Times New Roman" w:hAnsi="Times New Roman" w:cs="Times New Roman"/>
              </w:rPr>
              <w:t>PKD</w:t>
            </w:r>
          </w:p>
        </w:tc>
        <w:tc>
          <w:tcPr>
            <w:tcW w:w="7361" w:type="dxa"/>
            <w:tcBorders>
              <w:top w:val="nil"/>
              <w:left w:val="nil"/>
              <w:bottom w:val="nil"/>
              <w:right w:val="nil"/>
            </w:tcBorders>
            <w:shd w:val="clear" w:color="auto" w:fill="auto"/>
          </w:tcPr>
          <w:p w:rsidR="00DC75FA" w:rsidRDefault="00887D84">
            <w:pPr>
              <w:spacing w:after="0" w:line="240" w:lineRule="auto"/>
              <w:rPr>
                <w:rFonts w:ascii="Times New Roman" w:hAnsi="Times New Roman" w:cs="Times New Roman"/>
              </w:rPr>
            </w:pPr>
            <w:r>
              <w:rPr>
                <w:rFonts w:ascii="Times New Roman" w:hAnsi="Times New Roman" w:cs="Times New Roman"/>
              </w:rPr>
              <w:t>Polska Klasyfikacja Działalności</w:t>
            </w:r>
          </w:p>
        </w:tc>
      </w:tr>
      <w:tr w:rsidR="00DC75FA">
        <w:tc>
          <w:tcPr>
            <w:tcW w:w="1700" w:type="dxa"/>
            <w:tcBorders>
              <w:top w:val="nil"/>
              <w:left w:val="nil"/>
              <w:bottom w:val="nil"/>
              <w:right w:val="nil"/>
            </w:tcBorders>
            <w:shd w:val="clear" w:color="auto" w:fill="auto"/>
            <w:vAlign w:val="center"/>
          </w:tcPr>
          <w:p w:rsidR="00DC75FA" w:rsidRDefault="00887D84">
            <w:pPr>
              <w:spacing w:after="0" w:line="240" w:lineRule="auto"/>
              <w:rPr>
                <w:rFonts w:ascii="Times New Roman" w:hAnsi="Times New Roman" w:cs="Times New Roman"/>
              </w:rPr>
            </w:pPr>
            <w:r>
              <w:rPr>
                <w:rFonts w:ascii="Times New Roman" w:hAnsi="Times New Roman" w:cs="Times New Roman"/>
              </w:rPr>
              <w:t>REGON</w:t>
            </w:r>
          </w:p>
        </w:tc>
        <w:tc>
          <w:tcPr>
            <w:tcW w:w="7361" w:type="dxa"/>
            <w:tcBorders>
              <w:top w:val="nil"/>
              <w:left w:val="nil"/>
              <w:bottom w:val="nil"/>
              <w:right w:val="nil"/>
            </w:tcBorders>
            <w:shd w:val="clear" w:color="auto" w:fill="auto"/>
          </w:tcPr>
          <w:p w:rsidR="00DC75FA" w:rsidRDefault="00887D84">
            <w:pPr>
              <w:spacing w:after="0" w:line="240" w:lineRule="auto"/>
              <w:rPr>
                <w:rFonts w:ascii="Times New Roman" w:hAnsi="Times New Roman" w:cs="Times New Roman"/>
              </w:rPr>
            </w:pPr>
            <w:r>
              <w:rPr>
                <w:rFonts w:ascii="Times New Roman" w:hAnsi="Times New Roman" w:cs="Times New Roman"/>
              </w:rPr>
              <w:t>Rejestr Gospodarki Narodowej</w:t>
            </w:r>
          </w:p>
        </w:tc>
      </w:tr>
    </w:tbl>
    <w:p w:rsidR="00DC75FA" w:rsidRDefault="00DC75FA">
      <w:pPr>
        <w:sectPr w:rsidR="00DC75FA">
          <w:headerReference w:type="default" r:id="rId63"/>
          <w:footerReference w:type="default" r:id="rId64"/>
          <w:headerReference w:type="first" r:id="rId65"/>
          <w:footerReference w:type="first" r:id="rId66"/>
          <w:pgSz w:w="11906" w:h="16838"/>
          <w:pgMar w:top="1134" w:right="1134" w:bottom="1134" w:left="1134" w:header="709" w:footer="709" w:gutter="0"/>
          <w:pgNumType w:start="0"/>
          <w:cols w:space="708"/>
          <w:formProt w:val="0"/>
          <w:titlePg/>
          <w:docGrid w:linePitch="360" w:charSpace="4096"/>
        </w:sectPr>
      </w:pPr>
    </w:p>
    <w:p w:rsidR="00DC75FA" w:rsidRDefault="00DC75FA">
      <w:pPr>
        <w:rPr>
          <w:rFonts w:ascii="Times New Roman" w:hAnsi="Times New Roman" w:cs="Times New Roman"/>
          <w:b/>
          <w:color w:val="ED7D31" w:themeColor="accent2"/>
          <w:sz w:val="24"/>
          <w:szCs w:val="24"/>
          <w:highlight w:val="yellow"/>
        </w:rPr>
      </w:pPr>
    </w:p>
    <w:p w:rsidR="00DC75FA" w:rsidRDefault="00887D84">
      <w:pPr>
        <w:pStyle w:val="Bezodstpw"/>
        <w:spacing w:after="240" w:line="276" w:lineRule="auto"/>
        <w:jc w:val="both"/>
        <w:outlineLvl w:val="1"/>
        <w:rPr>
          <w:rFonts w:ascii="Times New Roman" w:hAnsi="Times New Roman" w:cs="Times New Roman"/>
          <w:b/>
          <w:color w:val="5B9BD5" w:themeColor="accent1"/>
          <w:sz w:val="32"/>
          <w:szCs w:val="24"/>
        </w:rPr>
      </w:pPr>
      <w:bookmarkStart w:id="48" w:name="_Toc116896667"/>
      <w:bookmarkStart w:id="49" w:name="_Toc105754708"/>
      <w:r>
        <w:rPr>
          <w:rFonts w:ascii="Times New Roman" w:hAnsi="Times New Roman" w:cs="Times New Roman"/>
          <w:b/>
          <w:color w:val="5B9BD5" w:themeColor="accent1"/>
          <w:sz w:val="32"/>
          <w:szCs w:val="24"/>
        </w:rPr>
        <w:t>DIAGNOZA STANU WYJŚCIOWEGO</w:t>
      </w:r>
      <w:bookmarkEnd w:id="48"/>
      <w:bookmarkEnd w:id="49"/>
    </w:p>
    <w:p w:rsidR="00DC75FA" w:rsidRDefault="00887D84">
      <w:pPr>
        <w:pStyle w:val="Bezodstpw"/>
        <w:numPr>
          <w:ilvl w:val="1"/>
          <w:numId w:val="25"/>
        </w:numPr>
        <w:spacing w:after="240" w:line="276" w:lineRule="auto"/>
        <w:contextualSpacing/>
        <w:jc w:val="both"/>
        <w:outlineLvl w:val="2"/>
        <w:rPr>
          <w:rFonts w:ascii="Times New Roman" w:hAnsi="Times New Roman" w:cs="Times New Roman"/>
          <w:b/>
          <w:color w:val="5B9BD5" w:themeColor="accent1"/>
          <w:sz w:val="24"/>
          <w:szCs w:val="24"/>
        </w:rPr>
      </w:pPr>
      <w:bookmarkStart w:id="50" w:name="_Toc116896668"/>
      <w:bookmarkStart w:id="51" w:name="_Toc105754709"/>
      <w:r>
        <w:rPr>
          <w:rFonts w:ascii="Times New Roman" w:hAnsi="Times New Roman" w:cs="Times New Roman"/>
          <w:b/>
          <w:color w:val="5B9BD5" w:themeColor="accent1"/>
          <w:sz w:val="24"/>
          <w:szCs w:val="24"/>
        </w:rPr>
        <w:t>OBSZAR FUNKCJONALNY</w:t>
      </w:r>
      <w:bookmarkEnd w:id="50"/>
      <w:bookmarkEnd w:id="51"/>
    </w:p>
    <w:p w:rsidR="00DC75FA" w:rsidRDefault="00887D84">
      <w:pPr>
        <w:spacing w:after="0"/>
        <w:ind w:firstLine="567"/>
        <w:rPr>
          <w:rFonts w:ascii="Times New Roman" w:hAnsi="Times New Roman" w:cs="Times New Roman"/>
        </w:rPr>
      </w:pPr>
      <w:r>
        <w:rPr>
          <w:rFonts w:ascii="Times New Roman" w:hAnsi="Times New Roman" w:cs="Times New Roman"/>
        </w:rPr>
        <w:t>Obszar Funkcjonalny, dla którego opracowano Strategię, obejmuje teren 5 jednostek samorządu terytorialnego, w tym 4 z powiatu łęczyńskiego i 1 z powiatu włodawskiego. W jego skład wchodzą:</w:t>
      </w:r>
    </w:p>
    <w:p w:rsidR="00DC75FA" w:rsidRDefault="00887D84">
      <w:pPr>
        <w:pStyle w:val="Akapitzlist"/>
        <w:numPr>
          <w:ilvl w:val="0"/>
          <w:numId w:val="55"/>
        </w:numPr>
        <w:spacing w:after="120" w:line="276" w:lineRule="auto"/>
        <w:jc w:val="both"/>
        <w:rPr>
          <w:rFonts w:ascii="Times New Roman" w:hAnsi="Times New Roman" w:cs="Times New Roman"/>
        </w:rPr>
      </w:pPr>
      <w:r>
        <w:rPr>
          <w:rFonts w:ascii="Times New Roman" w:hAnsi="Times New Roman" w:cs="Times New Roman"/>
        </w:rPr>
        <w:t>Gmina Cyców (wraz z 27 sołectwami, do których należą: Adamów, Barki, Biesiadki, Bekiesza, Cyców, Cyców Kolonia Druga, Garbatówka, Głębokie, Kopina, Ludwinów Wieś, Ludwinów Kolonia, Małków, Malinówka, Ostrówek Podyski, Podgłębokie, Stawek, Stefanów, Nowy Stręczyn, Stary Stręczyn, Sewerynów, Szczupak, Świerszczów Wieś, Świerszczów Kolonia, Wólka Cycowska, Wólka Nadrybska, Zagórze, Zaróbka),</w:t>
      </w:r>
    </w:p>
    <w:p w:rsidR="00DC75FA" w:rsidRDefault="00887D84">
      <w:pPr>
        <w:pStyle w:val="Akapitzlist"/>
        <w:numPr>
          <w:ilvl w:val="0"/>
          <w:numId w:val="55"/>
        </w:numPr>
        <w:spacing w:after="120" w:line="276" w:lineRule="auto"/>
        <w:ind w:left="426" w:hanging="426"/>
        <w:jc w:val="both"/>
        <w:rPr>
          <w:rFonts w:ascii="Times New Roman" w:hAnsi="Times New Roman" w:cs="Times New Roman"/>
        </w:rPr>
      </w:pPr>
      <w:r>
        <w:rPr>
          <w:rFonts w:ascii="Times New Roman" w:hAnsi="Times New Roman" w:cs="Times New Roman"/>
        </w:rPr>
        <w:t xml:space="preserve">Gmina Ludwin (wraz z 21 sołectwami, do których należą: Czarny Las, Kaniwola, Piaseczno, Rozpłucie Pierwsze, Rozpłucie Drugie, Jagodno, Rogóźno, Ludwin, Ludwin Kolonia, Grądy, Zezulin Drugi, Zezulin Pierwszy, Zezulin Niższy, Radzic Stary, Kocia Góra, Dąbrowa, Dratów, Kobyłki, Uciekajka, </w:t>
      </w:r>
      <w:proofErr w:type="spellStart"/>
      <w:r>
        <w:rPr>
          <w:rFonts w:ascii="Times New Roman" w:hAnsi="Times New Roman" w:cs="Times New Roman"/>
        </w:rPr>
        <w:t>Krzczeń</w:t>
      </w:r>
      <w:proofErr w:type="spellEnd"/>
      <w:r>
        <w:rPr>
          <w:rFonts w:ascii="Times New Roman" w:hAnsi="Times New Roman" w:cs="Times New Roman"/>
        </w:rPr>
        <w:t xml:space="preserve">, Dratów Kolonia), </w:t>
      </w:r>
    </w:p>
    <w:p w:rsidR="00DC75FA" w:rsidRDefault="00887D84">
      <w:pPr>
        <w:pStyle w:val="Akapitzlist"/>
        <w:numPr>
          <w:ilvl w:val="0"/>
          <w:numId w:val="55"/>
        </w:numPr>
        <w:spacing w:after="120" w:line="276" w:lineRule="auto"/>
        <w:ind w:left="426" w:hanging="426"/>
        <w:jc w:val="both"/>
        <w:rPr>
          <w:rFonts w:ascii="Times New Roman" w:hAnsi="Times New Roman" w:cs="Times New Roman"/>
        </w:rPr>
      </w:pPr>
      <w:r>
        <w:rPr>
          <w:rFonts w:ascii="Times New Roman" w:hAnsi="Times New Roman" w:cs="Times New Roman"/>
        </w:rPr>
        <w:t>Gmina Milejów (wraz z 24 sołectwami, do których należą: Antoniów, Antoniów Kolonia, Białka, Białka Kolonia, Dąbrowa, Cyganka, Górne, Jaszczów, Jaszczów Kolonia, Kajetanówka, Klarów, Łańcuchów, Łysołaje, Łysołaje Kolonia, Maryniów, Milejów Osada, Milejów, Ostrówek Kolonia, Popławy, Staroście, Wólka Bielecka, Wólka Łańcuchowska, Zalesie, Zgniła Struga),</w:t>
      </w:r>
    </w:p>
    <w:p w:rsidR="00DC75FA" w:rsidRDefault="00887D84">
      <w:pPr>
        <w:pStyle w:val="Akapitzlist"/>
        <w:numPr>
          <w:ilvl w:val="0"/>
          <w:numId w:val="55"/>
        </w:numPr>
        <w:spacing w:after="120" w:line="276" w:lineRule="auto"/>
        <w:ind w:left="426" w:hanging="426"/>
        <w:jc w:val="both"/>
        <w:rPr>
          <w:rFonts w:ascii="Times New Roman" w:hAnsi="Times New Roman" w:cs="Times New Roman"/>
        </w:rPr>
      </w:pPr>
      <w:r>
        <w:rPr>
          <w:rFonts w:ascii="Times New Roman" w:hAnsi="Times New Roman" w:cs="Times New Roman"/>
        </w:rPr>
        <w:t>Gmina Puchaczów (wraz z 17 sołectwami, do których należą: Wesołówka, Albertów, Brzeziny, Puchaczów, Bogdanka, Nadrybie Wieś, Turowola, Ciechanki, Nadrybie Dwór, Jasieniec, Zawadów, Kol. Ciechanki, Kol. Turowola, Ostrówek, Szpica, Nadrybie Ukazowe, Stara Wieś),</w:t>
      </w:r>
    </w:p>
    <w:p w:rsidR="00DC75FA" w:rsidRDefault="00887D84">
      <w:pPr>
        <w:pStyle w:val="Akapitzlist"/>
        <w:numPr>
          <w:ilvl w:val="0"/>
          <w:numId w:val="55"/>
        </w:numPr>
        <w:spacing w:after="120" w:line="276" w:lineRule="auto"/>
        <w:ind w:left="426" w:hanging="426"/>
        <w:jc w:val="both"/>
        <w:rPr>
          <w:rFonts w:ascii="Times New Roman" w:hAnsi="Times New Roman" w:cs="Times New Roman"/>
        </w:rPr>
      </w:pPr>
      <w:r>
        <w:rPr>
          <w:rFonts w:ascii="Times New Roman" w:hAnsi="Times New Roman" w:cs="Times New Roman"/>
        </w:rPr>
        <w:t xml:space="preserve">Gmina Urszulin (wraz z 25 sołectwami, do których należą: Andrzejów, Babsk, </w:t>
      </w:r>
      <w:proofErr w:type="spellStart"/>
      <w:r>
        <w:rPr>
          <w:rFonts w:ascii="Times New Roman" w:hAnsi="Times New Roman" w:cs="Times New Roman"/>
        </w:rPr>
        <w:t>Borysik</w:t>
      </w:r>
      <w:proofErr w:type="spellEnd"/>
      <w:r>
        <w:rPr>
          <w:rFonts w:ascii="Times New Roman" w:hAnsi="Times New Roman" w:cs="Times New Roman"/>
        </w:rPr>
        <w:t xml:space="preserve">, Dębowiec, Grabniak, Jamniki, </w:t>
      </w:r>
      <w:proofErr w:type="spellStart"/>
      <w:r>
        <w:rPr>
          <w:rFonts w:ascii="Times New Roman" w:hAnsi="Times New Roman" w:cs="Times New Roman"/>
        </w:rPr>
        <w:t>Kozubata</w:t>
      </w:r>
      <w:proofErr w:type="spellEnd"/>
      <w:r>
        <w:rPr>
          <w:rFonts w:ascii="Times New Roman" w:hAnsi="Times New Roman" w:cs="Times New Roman"/>
        </w:rPr>
        <w:t xml:space="preserve">, Łomnica, Michałów, Nowe Załucze, Przymiarki, Sęków, Sumin, Urszulin, Wereszczyn, Wiązowiec, Wielkopole, </w:t>
      </w:r>
      <w:proofErr w:type="spellStart"/>
      <w:r>
        <w:rPr>
          <w:rFonts w:ascii="Times New Roman" w:hAnsi="Times New Roman" w:cs="Times New Roman"/>
        </w:rPr>
        <w:t>Wincencin</w:t>
      </w:r>
      <w:proofErr w:type="spellEnd"/>
      <w:r>
        <w:rPr>
          <w:rFonts w:ascii="Times New Roman" w:hAnsi="Times New Roman" w:cs="Times New Roman"/>
        </w:rPr>
        <w:t xml:space="preserve">, Wola Wereszczyńska, Wólka Wytycka, </w:t>
      </w:r>
      <w:proofErr w:type="spellStart"/>
      <w:r>
        <w:rPr>
          <w:rFonts w:ascii="Times New Roman" w:hAnsi="Times New Roman" w:cs="Times New Roman"/>
        </w:rPr>
        <w:t>Wytyczno</w:t>
      </w:r>
      <w:proofErr w:type="spellEnd"/>
      <w:r>
        <w:rPr>
          <w:rFonts w:ascii="Times New Roman" w:hAnsi="Times New Roman" w:cs="Times New Roman"/>
        </w:rPr>
        <w:t>, Zabrodzie, Stare Załucze, Zastawie, Zawadówka).</w:t>
      </w:r>
    </w:p>
    <w:p w:rsidR="00DC75FA" w:rsidRDefault="00887D84">
      <w:pPr>
        <w:ind w:firstLine="567"/>
        <w:rPr>
          <w:rFonts w:ascii="Times New Roman" w:hAnsi="Times New Roman" w:cs="Times New Roman"/>
        </w:rPr>
      </w:pPr>
      <w:r>
        <w:rPr>
          <w:rFonts w:ascii="Times New Roman" w:hAnsi="Times New Roman" w:cs="Times New Roman"/>
        </w:rPr>
        <w:t>Łączna powierzchnia administracyjna OF wynosi 649 km</w:t>
      </w:r>
      <w:r>
        <w:rPr>
          <w:rFonts w:ascii="Times New Roman" w:hAnsi="Times New Roman" w:cs="Times New Roman"/>
          <w:vertAlign w:val="superscript"/>
        </w:rPr>
        <w:t>2</w:t>
      </w:r>
      <w:r>
        <w:rPr>
          <w:rFonts w:ascii="Times New Roman" w:hAnsi="Times New Roman" w:cs="Times New Roman"/>
        </w:rPr>
        <w:t>, co stanowi 2,6% powierzchni województwa lubelskiego.</w:t>
      </w:r>
    </w:p>
    <w:p w:rsidR="00DC75FA" w:rsidRDefault="00887D84">
      <w:pPr>
        <w:pStyle w:val="aaapodpis"/>
      </w:pPr>
      <w:bookmarkStart w:id="52" w:name="_Toc116896698"/>
      <w:r>
        <w:t>Rysunek 1: Herby i logotypy poszczególnych JST wchodzących w skład OF</w:t>
      </w:r>
      <w:bookmarkEnd w:id="52"/>
    </w:p>
    <w:tbl>
      <w:tblPr>
        <w:tblStyle w:val="Tabela-Siatka"/>
        <w:tblW w:w="9638" w:type="dxa"/>
        <w:tblLook w:val="04A0" w:firstRow="1" w:lastRow="0" w:firstColumn="1" w:lastColumn="0" w:noHBand="0" w:noVBand="1"/>
      </w:tblPr>
      <w:tblGrid>
        <w:gridCol w:w="1882"/>
        <w:gridCol w:w="1839"/>
        <w:gridCol w:w="1761"/>
        <w:gridCol w:w="1968"/>
        <w:gridCol w:w="2295"/>
      </w:tblGrid>
      <w:tr w:rsidR="00DC75FA">
        <w:tc>
          <w:tcPr>
            <w:tcW w:w="1862" w:type="dxa"/>
            <w:tcBorders>
              <w:top w:val="nil"/>
              <w:left w:val="nil"/>
              <w:bottom w:val="nil"/>
              <w:right w:val="nil"/>
            </w:tcBorders>
            <w:shd w:val="clear" w:color="auto" w:fill="auto"/>
            <w:vAlign w:val="bottom"/>
          </w:tcPr>
          <w:p w:rsidR="00DC75FA" w:rsidRDefault="00887D84">
            <w:pPr>
              <w:spacing w:after="0" w:line="240" w:lineRule="auto"/>
              <w:jc w:val="center"/>
              <w:rPr>
                <w:sz w:val="18"/>
                <w:szCs w:val="18"/>
              </w:rPr>
            </w:pPr>
            <w:r>
              <w:rPr>
                <w:sz w:val="18"/>
                <w:szCs w:val="18"/>
              </w:rPr>
              <w:t>Gmina Cyców</w:t>
            </w:r>
          </w:p>
        </w:tc>
        <w:tc>
          <w:tcPr>
            <w:tcW w:w="1817" w:type="dxa"/>
            <w:tcBorders>
              <w:top w:val="nil"/>
              <w:left w:val="nil"/>
              <w:bottom w:val="nil"/>
              <w:right w:val="nil"/>
            </w:tcBorders>
            <w:shd w:val="clear" w:color="auto" w:fill="auto"/>
            <w:vAlign w:val="bottom"/>
          </w:tcPr>
          <w:p w:rsidR="00DC75FA" w:rsidRDefault="00887D84">
            <w:pPr>
              <w:spacing w:after="0" w:line="240" w:lineRule="auto"/>
              <w:jc w:val="center"/>
              <w:rPr>
                <w:sz w:val="18"/>
                <w:szCs w:val="18"/>
              </w:rPr>
            </w:pPr>
            <w:r>
              <w:rPr>
                <w:sz w:val="18"/>
                <w:szCs w:val="18"/>
              </w:rPr>
              <w:t>Gmina Ludwin</w:t>
            </w:r>
          </w:p>
        </w:tc>
        <w:tc>
          <w:tcPr>
            <w:tcW w:w="1743" w:type="dxa"/>
            <w:tcBorders>
              <w:top w:val="nil"/>
              <w:left w:val="nil"/>
              <w:bottom w:val="nil"/>
              <w:right w:val="nil"/>
            </w:tcBorders>
            <w:shd w:val="clear" w:color="auto" w:fill="auto"/>
            <w:vAlign w:val="bottom"/>
          </w:tcPr>
          <w:p w:rsidR="00DC75FA" w:rsidRDefault="00887D84">
            <w:pPr>
              <w:spacing w:after="0" w:line="240" w:lineRule="auto"/>
              <w:jc w:val="center"/>
              <w:rPr>
                <w:sz w:val="18"/>
                <w:szCs w:val="18"/>
              </w:rPr>
            </w:pPr>
            <w:r>
              <w:rPr>
                <w:sz w:val="18"/>
                <w:szCs w:val="18"/>
              </w:rPr>
              <w:t>Gmina Milejów</w:t>
            </w:r>
          </w:p>
        </w:tc>
        <w:tc>
          <w:tcPr>
            <w:tcW w:w="1946" w:type="dxa"/>
            <w:tcBorders>
              <w:top w:val="nil"/>
              <w:left w:val="nil"/>
              <w:bottom w:val="nil"/>
              <w:right w:val="nil"/>
            </w:tcBorders>
            <w:shd w:val="clear" w:color="auto" w:fill="auto"/>
            <w:vAlign w:val="bottom"/>
          </w:tcPr>
          <w:p w:rsidR="00DC75FA" w:rsidRDefault="00887D84">
            <w:pPr>
              <w:spacing w:after="0" w:line="240" w:lineRule="auto"/>
              <w:jc w:val="center"/>
              <w:rPr>
                <w:sz w:val="18"/>
                <w:szCs w:val="18"/>
              </w:rPr>
            </w:pPr>
            <w:r>
              <w:rPr>
                <w:sz w:val="18"/>
                <w:szCs w:val="18"/>
              </w:rPr>
              <w:t>Gmina Puchaczów</w:t>
            </w:r>
          </w:p>
        </w:tc>
        <w:tc>
          <w:tcPr>
            <w:tcW w:w="2270" w:type="dxa"/>
            <w:tcBorders>
              <w:top w:val="nil"/>
              <w:left w:val="nil"/>
              <w:bottom w:val="nil"/>
              <w:right w:val="nil"/>
            </w:tcBorders>
            <w:shd w:val="clear" w:color="auto" w:fill="auto"/>
          </w:tcPr>
          <w:p w:rsidR="00DC75FA" w:rsidRDefault="00887D84">
            <w:pPr>
              <w:spacing w:after="0" w:line="240" w:lineRule="auto"/>
              <w:jc w:val="center"/>
              <w:rPr>
                <w:sz w:val="18"/>
                <w:szCs w:val="18"/>
              </w:rPr>
            </w:pPr>
            <w:r>
              <w:rPr>
                <w:sz w:val="18"/>
                <w:szCs w:val="18"/>
              </w:rPr>
              <w:t>Gmina Urszulin</w:t>
            </w:r>
          </w:p>
        </w:tc>
      </w:tr>
      <w:tr w:rsidR="00DC75FA">
        <w:tc>
          <w:tcPr>
            <w:tcW w:w="1862" w:type="dxa"/>
            <w:tcBorders>
              <w:top w:val="nil"/>
              <w:left w:val="nil"/>
              <w:bottom w:val="nil"/>
              <w:right w:val="nil"/>
            </w:tcBorders>
            <w:shd w:val="clear" w:color="auto" w:fill="auto"/>
            <w:vAlign w:val="center"/>
          </w:tcPr>
          <w:p w:rsidR="00DC75FA" w:rsidRDefault="00887D84">
            <w:pPr>
              <w:spacing w:after="0" w:line="240" w:lineRule="auto"/>
              <w:jc w:val="center"/>
              <w:rPr>
                <w:sz w:val="18"/>
                <w:szCs w:val="18"/>
              </w:rPr>
            </w:pPr>
            <w:r>
              <w:rPr>
                <w:noProof/>
                <w:lang w:eastAsia="pl-PL"/>
              </w:rPr>
              <w:drawing>
                <wp:inline distT="0" distB="0" distL="0" distR="0">
                  <wp:extent cx="1057910" cy="1188085"/>
                  <wp:effectExtent l="0" t="0" r="0" b="0"/>
                  <wp:docPr id="4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3"/>
                          <pic:cNvPicPr>
                            <a:picLocks noChangeAspect="1" noChangeArrowheads="1"/>
                          </pic:cNvPicPr>
                        </pic:nvPicPr>
                        <pic:blipFill>
                          <a:blip r:embed="rId13"/>
                          <a:stretch>
                            <a:fillRect/>
                          </a:stretch>
                        </pic:blipFill>
                        <pic:spPr bwMode="auto">
                          <a:xfrm>
                            <a:off x="0" y="0"/>
                            <a:ext cx="1057910" cy="1188085"/>
                          </a:xfrm>
                          <a:prstGeom prst="rect">
                            <a:avLst/>
                          </a:prstGeom>
                        </pic:spPr>
                      </pic:pic>
                    </a:graphicData>
                  </a:graphic>
                </wp:inline>
              </w:drawing>
            </w:r>
          </w:p>
        </w:tc>
        <w:tc>
          <w:tcPr>
            <w:tcW w:w="1817" w:type="dxa"/>
            <w:tcBorders>
              <w:top w:val="nil"/>
              <w:left w:val="nil"/>
              <w:bottom w:val="nil"/>
              <w:right w:val="nil"/>
            </w:tcBorders>
            <w:shd w:val="clear" w:color="auto" w:fill="auto"/>
            <w:vAlign w:val="center"/>
          </w:tcPr>
          <w:p w:rsidR="00DC75FA" w:rsidRDefault="00887D84">
            <w:pPr>
              <w:spacing w:after="0" w:line="240" w:lineRule="auto"/>
              <w:jc w:val="center"/>
              <w:rPr>
                <w:sz w:val="18"/>
                <w:szCs w:val="18"/>
              </w:rPr>
            </w:pPr>
            <w:r>
              <w:rPr>
                <w:noProof/>
                <w:lang w:eastAsia="pl-PL"/>
              </w:rPr>
              <w:drawing>
                <wp:inline distT="0" distB="0" distL="0" distR="0">
                  <wp:extent cx="1030605" cy="1188085"/>
                  <wp:effectExtent l="0" t="0" r="0" b="0"/>
                  <wp:docPr id="4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14"/>
                          <pic:cNvPicPr>
                            <a:picLocks noChangeAspect="1" noChangeArrowheads="1"/>
                          </pic:cNvPicPr>
                        </pic:nvPicPr>
                        <pic:blipFill>
                          <a:blip r:embed="rId14"/>
                          <a:stretch>
                            <a:fillRect/>
                          </a:stretch>
                        </pic:blipFill>
                        <pic:spPr bwMode="auto">
                          <a:xfrm>
                            <a:off x="0" y="0"/>
                            <a:ext cx="1030605" cy="1188085"/>
                          </a:xfrm>
                          <a:prstGeom prst="rect">
                            <a:avLst/>
                          </a:prstGeom>
                        </pic:spPr>
                      </pic:pic>
                    </a:graphicData>
                  </a:graphic>
                </wp:inline>
              </w:drawing>
            </w:r>
          </w:p>
        </w:tc>
        <w:tc>
          <w:tcPr>
            <w:tcW w:w="1743" w:type="dxa"/>
            <w:tcBorders>
              <w:top w:val="nil"/>
              <w:left w:val="nil"/>
              <w:bottom w:val="nil"/>
              <w:right w:val="nil"/>
            </w:tcBorders>
            <w:shd w:val="clear" w:color="auto" w:fill="auto"/>
            <w:vAlign w:val="center"/>
          </w:tcPr>
          <w:p w:rsidR="00DC75FA" w:rsidRDefault="00887D84">
            <w:pPr>
              <w:spacing w:after="0" w:line="240" w:lineRule="auto"/>
              <w:jc w:val="center"/>
              <w:rPr>
                <w:sz w:val="18"/>
                <w:szCs w:val="18"/>
              </w:rPr>
            </w:pPr>
            <w:r>
              <w:rPr>
                <w:noProof/>
                <w:lang w:eastAsia="pl-PL"/>
              </w:rPr>
              <w:drawing>
                <wp:inline distT="0" distB="0" distL="0" distR="0">
                  <wp:extent cx="981075" cy="1188085"/>
                  <wp:effectExtent l="0" t="0" r="0" b="0"/>
                  <wp:docPr id="4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16"/>
                          <pic:cNvPicPr>
                            <a:picLocks noChangeAspect="1" noChangeArrowheads="1"/>
                          </pic:cNvPicPr>
                        </pic:nvPicPr>
                        <pic:blipFill>
                          <a:blip r:embed="rId15"/>
                          <a:stretch>
                            <a:fillRect/>
                          </a:stretch>
                        </pic:blipFill>
                        <pic:spPr bwMode="auto">
                          <a:xfrm>
                            <a:off x="0" y="0"/>
                            <a:ext cx="981075" cy="1188085"/>
                          </a:xfrm>
                          <a:prstGeom prst="rect">
                            <a:avLst/>
                          </a:prstGeom>
                        </pic:spPr>
                      </pic:pic>
                    </a:graphicData>
                  </a:graphic>
                </wp:inline>
              </w:drawing>
            </w:r>
          </w:p>
        </w:tc>
        <w:tc>
          <w:tcPr>
            <w:tcW w:w="1946" w:type="dxa"/>
            <w:tcBorders>
              <w:top w:val="nil"/>
              <w:left w:val="nil"/>
              <w:bottom w:val="nil"/>
              <w:right w:val="nil"/>
            </w:tcBorders>
            <w:shd w:val="clear" w:color="auto" w:fill="auto"/>
            <w:vAlign w:val="center"/>
          </w:tcPr>
          <w:p w:rsidR="00DC75FA" w:rsidRDefault="00887D84">
            <w:pPr>
              <w:spacing w:after="0" w:line="240" w:lineRule="auto"/>
              <w:jc w:val="center"/>
              <w:rPr>
                <w:sz w:val="18"/>
                <w:szCs w:val="18"/>
              </w:rPr>
            </w:pPr>
            <w:r>
              <w:rPr>
                <w:noProof/>
                <w:lang w:eastAsia="pl-PL"/>
              </w:rPr>
              <w:drawing>
                <wp:inline distT="0" distB="0" distL="0" distR="0">
                  <wp:extent cx="1112520" cy="1333500"/>
                  <wp:effectExtent l="0" t="0" r="0" b="0"/>
                  <wp:docPr id="4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25"/>
                          <pic:cNvPicPr>
                            <a:picLocks noChangeAspect="1" noChangeArrowheads="1"/>
                          </pic:cNvPicPr>
                        </pic:nvPicPr>
                        <pic:blipFill>
                          <a:blip r:embed="rId16"/>
                          <a:stretch>
                            <a:fillRect/>
                          </a:stretch>
                        </pic:blipFill>
                        <pic:spPr bwMode="auto">
                          <a:xfrm>
                            <a:off x="0" y="0"/>
                            <a:ext cx="1112520" cy="1333500"/>
                          </a:xfrm>
                          <a:prstGeom prst="rect">
                            <a:avLst/>
                          </a:prstGeom>
                        </pic:spPr>
                      </pic:pic>
                    </a:graphicData>
                  </a:graphic>
                </wp:inline>
              </w:drawing>
            </w:r>
          </w:p>
        </w:tc>
        <w:tc>
          <w:tcPr>
            <w:tcW w:w="2270" w:type="dxa"/>
            <w:tcBorders>
              <w:top w:val="nil"/>
              <w:left w:val="nil"/>
              <w:bottom w:val="nil"/>
              <w:right w:val="nil"/>
            </w:tcBorders>
            <w:shd w:val="clear" w:color="auto" w:fill="auto"/>
            <w:vAlign w:val="center"/>
          </w:tcPr>
          <w:p w:rsidR="00DC75FA" w:rsidRDefault="00887D84">
            <w:pPr>
              <w:spacing w:after="0" w:line="240" w:lineRule="auto"/>
              <w:jc w:val="center"/>
              <w:rPr>
                <w:sz w:val="18"/>
                <w:szCs w:val="18"/>
                <w:lang w:eastAsia="pl-PL"/>
              </w:rPr>
            </w:pPr>
            <w:r>
              <w:rPr>
                <w:noProof/>
                <w:lang w:eastAsia="pl-PL"/>
              </w:rPr>
              <w:drawing>
                <wp:inline distT="0" distB="0" distL="0" distR="0">
                  <wp:extent cx="1320165" cy="660400"/>
                  <wp:effectExtent l="0" t="0" r="0" b="0"/>
                  <wp:docPr id="45" name="Obraz 26" descr="Herb Gminy Ursz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26" descr="Herb Gminy Urszulin"/>
                          <pic:cNvPicPr>
                            <a:picLocks noChangeAspect="1" noChangeArrowheads="1"/>
                          </pic:cNvPicPr>
                        </pic:nvPicPr>
                        <pic:blipFill>
                          <a:blip r:embed="rId17"/>
                          <a:stretch>
                            <a:fillRect/>
                          </a:stretch>
                        </pic:blipFill>
                        <pic:spPr bwMode="auto">
                          <a:xfrm>
                            <a:off x="0" y="0"/>
                            <a:ext cx="1320165" cy="660400"/>
                          </a:xfrm>
                          <a:prstGeom prst="rect">
                            <a:avLst/>
                          </a:prstGeom>
                        </pic:spPr>
                      </pic:pic>
                    </a:graphicData>
                  </a:graphic>
                </wp:inline>
              </w:drawing>
            </w:r>
          </w:p>
        </w:tc>
      </w:tr>
    </w:tbl>
    <w:p w:rsidR="00DC75FA" w:rsidRDefault="00887D84">
      <w:pPr>
        <w:pStyle w:val="aaardo"/>
      </w:pPr>
      <w:r>
        <w:t>Źródło: opracowanie własne na podstawie stron internetowych poszczególnych JST.</w:t>
      </w:r>
    </w:p>
    <w:p w:rsidR="00DC75FA" w:rsidRDefault="00887D84">
      <w:pPr>
        <w:pStyle w:val="aaapodpis"/>
        <w:spacing w:line="276" w:lineRule="auto"/>
      </w:pPr>
      <w:bookmarkStart w:id="53" w:name="_Toc116896699"/>
      <w:r>
        <w:lastRenderedPageBreak/>
        <w:t>Rysunek 2: Mapa Gminy Cyców</w:t>
      </w:r>
      <w:bookmarkEnd w:id="53"/>
    </w:p>
    <w:p w:rsidR="00DC75FA" w:rsidRDefault="00887D84">
      <w:pPr>
        <w:pStyle w:val="aaardo"/>
        <w:jc w:val="center"/>
      </w:pPr>
      <w:r>
        <w:rPr>
          <w:noProof/>
          <w:lang w:eastAsia="pl-PL"/>
        </w:rPr>
        <w:drawing>
          <wp:inline distT="0" distB="0" distL="0" distR="0">
            <wp:extent cx="4267200" cy="4321175"/>
            <wp:effectExtent l="0" t="0" r="0" b="0"/>
            <wp:docPr id="46" name="Obraz 93" descr="Plan gminy Cy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93" descr="Plan gminy Cyców"/>
                    <pic:cNvPicPr>
                      <a:picLocks noChangeAspect="1" noChangeArrowheads="1"/>
                    </pic:cNvPicPr>
                  </pic:nvPicPr>
                  <pic:blipFill>
                    <a:blip r:embed="rId67"/>
                    <a:stretch>
                      <a:fillRect/>
                    </a:stretch>
                  </pic:blipFill>
                  <pic:spPr bwMode="auto">
                    <a:xfrm>
                      <a:off x="0" y="0"/>
                      <a:ext cx="4267200" cy="4321175"/>
                    </a:xfrm>
                    <a:prstGeom prst="rect">
                      <a:avLst/>
                    </a:prstGeom>
                  </pic:spPr>
                </pic:pic>
              </a:graphicData>
            </a:graphic>
          </wp:inline>
        </w:drawing>
      </w:r>
    </w:p>
    <w:p w:rsidR="00DC75FA" w:rsidRDefault="00887D84">
      <w:pPr>
        <w:pStyle w:val="aaardo"/>
      </w:pPr>
      <w:r>
        <w:t>Źródło: Urząd Gminy Cyców.</w:t>
      </w:r>
    </w:p>
    <w:p w:rsidR="00DC75FA" w:rsidRDefault="00887D84">
      <w:pPr>
        <w:pStyle w:val="aaapodpis"/>
        <w:spacing w:line="276" w:lineRule="auto"/>
      </w:pPr>
      <w:bookmarkStart w:id="54" w:name="_Toc116896700"/>
      <w:r>
        <w:t>Rysunek 3: Mapa Gminy Milejów</w:t>
      </w:r>
      <w:bookmarkEnd w:id="54"/>
    </w:p>
    <w:p w:rsidR="00DC75FA" w:rsidRDefault="00887D84">
      <w:pPr>
        <w:pStyle w:val="aaardo"/>
        <w:jc w:val="center"/>
      </w:pPr>
      <w:r>
        <w:rPr>
          <w:noProof/>
          <w:lang w:eastAsia="pl-PL"/>
        </w:rPr>
        <w:drawing>
          <wp:inline distT="0" distB="0" distL="0" distR="0">
            <wp:extent cx="5114925" cy="3851275"/>
            <wp:effectExtent l="0" t="0" r="0" b="0"/>
            <wp:docPr id="47" name="Obraz 94" descr="Plan gminy Milej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94" descr="Plan gminy Milejów"/>
                    <pic:cNvPicPr>
                      <a:picLocks noChangeAspect="1" noChangeArrowheads="1"/>
                    </pic:cNvPicPr>
                  </pic:nvPicPr>
                  <pic:blipFill>
                    <a:blip r:embed="rId68"/>
                    <a:stretch>
                      <a:fillRect/>
                    </a:stretch>
                  </pic:blipFill>
                  <pic:spPr bwMode="auto">
                    <a:xfrm>
                      <a:off x="0" y="0"/>
                      <a:ext cx="5114925" cy="3851275"/>
                    </a:xfrm>
                    <a:prstGeom prst="rect">
                      <a:avLst/>
                    </a:prstGeom>
                  </pic:spPr>
                </pic:pic>
              </a:graphicData>
            </a:graphic>
          </wp:inline>
        </w:drawing>
      </w:r>
    </w:p>
    <w:p w:rsidR="00DC75FA" w:rsidRDefault="00887D84">
      <w:pPr>
        <w:pStyle w:val="aaardo"/>
      </w:pPr>
      <w:r>
        <w:t>Źródło: Urząd Gminy Milejów.</w:t>
      </w:r>
    </w:p>
    <w:p w:rsidR="00DC75FA" w:rsidRDefault="00887D84">
      <w:pPr>
        <w:pStyle w:val="aaapodpis"/>
        <w:spacing w:line="276" w:lineRule="auto"/>
      </w:pPr>
      <w:bookmarkStart w:id="55" w:name="_Toc116896701"/>
      <w:r>
        <w:lastRenderedPageBreak/>
        <w:t>Rysunek 4: Mapa Gminy Ludwin</w:t>
      </w:r>
      <w:bookmarkEnd w:id="55"/>
    </w:p>
    <w:p w:rsidR="00DC75FA" w:rsidRDefault="00887D84">
      <w:pPr>
        <w:pStyle w:val="aaardo"/>
        <w:jc w:val="center"/>
        <w:rPr>
          <w:highlight w:val="yellow"/>
        </w:rPr>
      </w:pPr>
      <w:r>
        <w:rPr>
          <w:noProof/>
          <w:lang w:eastAsia="pl-PL"/>
        </w:rPr>
        <w:drawing>
          <wp:inline distT="0" distB="0" distL="0" distR="0">
            <wp:extent cx="6120130" cy="3884930"/>
            <wp:effectExtent l="0" t="0" r="0" b="0"/>
            <wp:docPr id="48" name="Obraz 95" descr="Plan gminy Lud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95" descr="Plan gminy Ludwin"/>
                    <pic:cNvPicPr>
                      <a:picLocks noChangeAspect="1" noChangeArrowheads="1"/>
                    </pic:cNvPicPr>
                  </pic:nvPicPr>
                  <pic:blipFill>
                    <a:blip r:embed="rId69"/>
                    <a:stretch>
                      <a:fillRect/>
                    </a:stretch>
                  </pic:blipFill>
                  <pic:spPr bwMode="auto">
                    <a:xfrm>
                      <a:off x="0" y="0"/>
                      <a:ext cx="6120130" cy="3884930"/>
                    </a:xfrm>
                    <a:prstGeom prst="rect">
                      <a:avLst/>
                    </a:prstGeom>
                  </pic:spPr>
                </pic:pic>
              </a:graphicData>
            </a:graphic>
          </wp:inline>
        </w:drawing>
      </w:r>
    </w:p>
    <w:p w:rsidR="00DC75FA" w:rsidRDefault="00887D84">
      <w:pPr>
        <w:pStyle w:val="aaardo"/>
      </w:pPr>
      <w:r>
        <w:t>Źródło: Urząd Gminy Ludwin.</w:t>
      </w:r>
    </w:p>
    <w:p w:rsidR="00DC75FA" w:rsidRDefault="00887D84">
      <w:pPr>
        <w:pStyle w:val="aaapodpis"/>
        <w:spacing w:line="276" w:lineRule="auto"/>
      </w:pPr>
      <w:bookmarkStart w:id="56" w:name="_Toc116896702"/>
      <w:r>
        <w:t>Rysunek 5: Mapa Gminy Puchaczów</w:t>
      </w:r>
      <w:bookmarkEnd w:id="56"/>
    </w:p>
    <w:p w:rsidR="00DC75FA" w:rsidRDefault="00887D84">
      <w:pPr>
        <w:pStyle w:val="aaardo"/>
        <w:jc w:val="center"/>
        <w:rPr>
          <w:highlight w:val="yellow"/>
        </w:rPr>
      </w:pPr>
      <w:r>
        <w:rPr>
          <w:noProof/>
          <w:lang w:eastAsia="pl-PL"/>
        </w:rPr>
        <w:drawing>
          <wp:inline distT="0" distB="0" distL="0" distR="0">
            <wp:extent cx="3267075" cy="4271645"/>
            <wp:effectExtent l="0" t="0" r="0" b="0"/>
            <wp:docPr id="49" name="Obraz 96" descr="Plan gminy Puchac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96" descr="Plan gminy Puchaczów"/>
                    <pic:cNvPicPr>
                      <a:picLocks noChangeAspect="1" noChangeArrowheads="1"/>
                    </pic:cNvPicPr>
                  </pic:nvPicPr>
                  <pic:blipFill>
                    <a:blip r:embed="rId70"/>
                    <a:stretch>
                      <a:fillRect/>
                    </a:stretch>
                  </pic:blipFill>
                  <pic:spPr bwMode="auto">
                    <a:xfrm>
                      <a:off x="0" y="0"/>
                      <a:ext cx="3267075" cy="4271645"/>
                    </a:xfrm>
                    <a:prstGeom prst="rect">
                      <a:avLst/>
                    </a:prstGeom>
                  </pic:spPr>
                </pic:pic>
              </a:graphicData>
            </a:graphic>
          </wp:inline>
        </w:drawing>
      </w:r>
    </w:p>
    <w:p w:rsidR="00DC75FA" w:rsidRDefault="00887D84">
      <w:pPr>
        <w:pStyle w:val="aaardo"/>
      </w:pPr>
      <w:r>
        <w:t>Źródło: Urząd Gminy Puchaczów.</w:t>
      </w:r>
    </w:p>
    <w:p w:rsidR="00DC75FA" w:rsidRDefault="00887D84">
      <w:pPr>
        <w:pStyle w:val="aaapodpis"/>
        <w:spacing w:line="276" w:lineRule="auto"/>
      </w:pPr>
      <w:bookmarkStart w:id="57" w:name="_Toc116896703"/>
      <w:r>
        <w:lastRenderedPageBreak/>
        <w:t>Rysunek 6: Mapa Gminy Urszulin</w:t>
      </w:r>
      <w:bookmarkEnd w:id="57"/>
    </w:p>
    <w:p w:rsidR="00DC75FA" w:rsidRDefault="00887D84">
      <w:pPr>
        <w:pStyle w:val="aaardo"/>
        <w:jc w:val="center"/>
        <w:rPr>
          <w:highlight w:val="yellow"/>
        </w:rPr>
      </w:pPr>
      <w:r>
        <w:rPr>
          <w:noProof/>
          <w:lang w:eastAsia="pl-PL"/>
        </w:rPr>
        <w:drawing>
          <wp:inline distT="0" distB="0" distL="0" distR="0">
            <wp:extent cx="4853940" cy="4608195"/>
            <wp:effectExtent l="0" t="0" r="0" b="0"/>
            <wp:docPr id="50" name="Obraz 97" descr="Plan gminy Ursz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97" descr="Plan gminy Urszulin"/>
                    <pic:cNvPicPr>
                      <a:picLocks noChangeAspect="1" noChangeArrowheads="1"/>
                    </pic:cNvPicPr>
                  </pic:nvPicPr>
                  <pic:blipFill>
                    <a:blip r:embed="rId71"/>
                    <a:stretch>
                      <a:fillRect/>
                    </a:stretch>
                  </pic:blipFill>
                  <pic:spPr bwMode="auto">
                    <a:xfrm>
                      <a:off x="0" y="0"/>
                      <a:ext cx="4853940" cy="4608195"/>
                    </a:xfrm>
                    <a:prstGeom prst="rect">
                      <a:avLst/>
                    </a:prstGeom>
                  </pic:spPr>
                </pic:pic>
              </a:graphicData>
            </a:graphic>
          </wp:inline>
        </w:drawing>
      </w:r>
    </w:p>
    <w:p w:rsidR="00DC75FA" w:rsidRDefault="00887D84">
      <w:pPr>
        <w:pStyle w:val="aaardo"/>
      </w:pPr>
      <w:r>
        <w:t>Źródło: Urząd Gminy Urszulin.</w:t>
      </w:r>
    </w:p>
    <w:p w:rsidR="00DC75FA" w:rsidRDefault="00887D84">
      <w:pPr>
        <w:pStyle w:val="aaapodpis"/>
        <w:spacing w:line="276" w:lineRule="auto"/>
      </w:pPr>
      <w:bookmarkStart w:id="58" w:name="_Toc75899279"/>
      <w:r>
        <w:t>Tabela 1: Podstawowe informacje o OF</w:t>
      </w:r>
      <w:bookmarkEnd w:id="58"/>
    </w:p>
    <w:tbl>
      <w:tblPr>
        <w:tblStyle w:val="Jasnecieniowanieakcent11"/>
        <w:tblW w:w="5000" w:type="pct"/>
        <w:tblLook w:val="0480" w:firstRow="0" w:lastRow="0" w:firstColumn="1" w:lastColumn="0" w:noHBand="0" w:noVBand="1"/>
      </w:tblPr>
      <w:tblGrid>
        <w:gridCol w:w="2846"/>
        <w:gridCol w:w="7008"/>
      </w:tblGrid>
      <w:tr w:rsidR="00DC75FA" w:rsidTr="00DC75F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5B9BD5"/>
              <w:left w:val="single" w:sz="4" w:space="0" w:color="5B9BD5"/>
              <w:bottom w:val="nil"/>
            </w:tcBorders>
          </w:tcPr>
          <w:p w:rsidR="00DC75FA" w:rsidRDefault="00887D84">
            <w:pPr>
              <w:pStyle w:val="Bezodstpw"/>
              <w:spacing w:line="276" w:lineRule="auto"/>
              <w:contextualSpacing/>
              <w:jc w:val="right"/>
              <w:rPr>
                <w:rFonts w:ascii="Times New Roman" w:hAnsi="Times New Roman" w:cs="Times New Roman"/>
                <w:sz w:val="20"/>
                <w:szCs w:val="20"/>
              </w:rPr>
            </w:pPr>
            <w:r>
              <w:rPr>
                <w:rFonts w:ascii="Times New Roman" w:hAnsi="Times New Roman" w:cs="Times New Roman"/>
                <w:sz w:val="20"/>
                <w:szCs w:val="20"/>
              </w:rPr>
              <w:t>województwo</w:t>
            </w:r>
          </w:p>
        </w:tc>
        <w:tc>
          <w:tcPr>
            <w:tcW w:w="6854" w:type="dxa"/>
            <w:tcBorders>
              <w:top w:val="single" w:sz="4" w:space="0" w:color="5B9BD5"/>
              <w:bottom w:val="nil"/>
              <w:right w:val="single" w:sz="4" w:space="0" w:color="5B9BD5"/>
            </w:tcBorders>
          </w:tcPr>
          <w:p w:rsidR="00DC75FA" w:rsidRDefault="00887D84">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lubelskie</w:t>
            </w:r>
          </w:p>
        </w:tc>
      </w:tr>
      <w:tr w:rsidR="00DC75FA" w:rsidTr="00DC75FA">
        <w:tc>
          <w:tcPr>
            <w:cnfStyle w:val="001000000000" w:firstRow="0" w:lastRow="0" w:firstColumn="1" w:lastColumn="0" w:oddVBand="0" w:evenVBand="0" w:oddHBand="0" w:evenHBand="0" w:firstRowFirstColumn="0" w:firstRowLastColumn="0" w:lastRowFirstColumn="0" w:lastRowLastColumn="0"/>
            <w:tcW w:w="2783" w:type="dxa"/>
            <w:tcBorders>
              <w:top w:val="nil"/>
              <w:left w:val="single" w:sz="4" w:space="0" w:color="5B9BD5"/>
              <w:bottom w:val="nil"/>
            </w:tcBorders>
            <w:shd w:val="clear" w:color="auto" w:fill="auto"/>
          </w:tcPr>
          <w:p w:rsidR="00DC75FA" w:rsidRDefault="00887D84">
            <w:pPr>
              <w:pStyle w:val="Bezodstpw"/>
              <w:spacing w:line="276" w:lineRule="auto"/>
              <w:contextualSpacing/>
              <w:jc w:val="right"/>
              <w:rPr>
                <w:rFonts w:ascii="Times New Roman" w:hAnsi="Times New Roman" w:cs="Times New Roman"/>
                <w:sz w:val="20"/>
                <w:szCs w:val="20"/>
              </w:rPr>
            </w:pPr>
            <w:r>
              <w:rPr>
                <w:rFonts w:ascii="Times New Roman" w:hAnsi="Times New Roman" w:cs="Times New Roman"/>
                <w:sz w:val="20"/>
                <w:szCs w:val="20"/>
              </w:rPr>
              <w:t>powiat</w:t>
            </w:r>
          </w:p>
        </w:tc>
        <w:tc>
          <w:tcPr>
            <w:tcW w:w="6854" w:type="dxa"/>
            <w:tcBorders>
              <w:top w:val="nil"/>
              <w:bottom w:val="nil"/>
              <w:right w:val="single" w:sz="4" w:space="0" w:color="5B9BD5"/>
            </w:tcBorders>
            <w:shd w:val="clear" w:color="auto" w:fill="auto"/>
          </w:tcPr>
          <w:p w:rsidR="00DC75FA" w:rsidRDefault="00887D84">
            <w:pPr>
              <w:pStyle w:val="Bezodstpw"/>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łęczyński, włodawski</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Borders>
              <w:top w:val="nil"/>
              <w:left w:val="single" w:sz="4" w:space="0" w:color="5B9BD5"/>
              <w:bottom w:val="nil"/>
            </w:tcBorders>
          </w:tcPr>
          <w:p w:rsidR="00DC75FA" w:rsidRDefault="00887D84">
            <w:pPr>
              <w:pStyle w:val="Bezodstpw"/>
              <w:spacing w:line="276" w:lineRule="auto"/>
              <w:contextualSpacing/>
              <w:jc w:val="right"/>
              <w:rPr>
                <w:rFonts w:ascii="Times New Roman" w:hAnsi="Times New Roman" w:cs="Times New Roman"/>
                <w:sz w:val="20"/>
                <w:szCs w:val="20"/>
              </w:rPr>
            </w:pPr>
            <w:r>
              <w:rPr>
                <w:rFonts w:ascii="Times New Roman" w:hAnsi="Times New Roman" w:cs="Times New Roman"/>
                <w:sz w:val="20"/>
                <w:szCs w:val="20"/>
              </w:rPr>
              <w:t>powierzchnia</w:t>
            </w:r>
          </w:p>
        </w:tc>
        <w:tc>
          <w:tcPr>
            <w:tcW w:w="6854" w:type="dxa"/>
            <w:tcBorders>
              <w:top w:val="nil"/>
              <w:bottom w:val="nil"/>
              <w:right w:val="single" w:sz="4" w:space="0" w:color="5B9BD5"/>
            </w:tcBorders>
          </w:tcPr>
          <w:p w:rsidR="00DC75FA" w:rsidRDefault="00887D84">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rPr>
            </w:pPr>
            <w:r>
              <w:rPr>
                <w:rFonts w:ascii="Times New Roman" w:hAnsi="Times New Roman" w:cs="Times New Roman"/>
                <w:sz w:val="20"/>
                <w:szCs w:val="20"/>
              </w:rPr>
              <w:t>65 049 ha</w:t>
            </w:r>
          </w:p>
        </w:tc>
      </w:tr>
      <w:tr w:rsidR="00DC75FA" w:rsidTr="00DC75FA">
        <w:tc>
          <w:tcPr>
            <w:cnfStyle w:val="001000000000" w:firstRow="0" w:lastRow="0" w:firstColumn="1" w:lastColumn="0" w:oddVBand="0" w:evenVBand="0" w:oddHBand="0" w:evenHBand="0" w:firstRowFirstColumn="0" w:firstRowLastColumn="0" w:lastRowFirstColumn="0" w:lastRowLastColumn="0"/>
            <w:tcW w:w="2783" w:type="dxa"/>
            <w:tcBorders>
              <w:top w:val="nil"/>
              <w:left w:val="single" w:sz="4" w:space="0" w:color="5B9BD5"/>
              <w:bottom w:val="nil"/>
            </w:tcBorders>
            <w:shd w:val="clear" w:color="auto" w:fill="auto"/>
          </w:tcPr>
          <w:p w:rsidR="00DC75FA" w:rsidRDefault="00887D84">
            <w:pPr>
              <w:pStyle w:val="Bezodstpw"/>
              <w:spacing w:line="276" w:lineRule="auto"/>
              <w:ind w:left="567"/>
              <w:contextualSpacing/>
              <w:jc w:val="right"/>
              <w:rPr>
                <w:rFonts w:ascii="Times New Roman" w:hAnsi="Times New Roman" w:cs="Times New Roman"/>
                <w:sz w:val="20"/>
                <w:szCs w:val="20"/>
              </w:rPr>
            </w:pPr>
            <w:r>
              <w:rPr>
                <w:rFonts w:ascii="Times New Roman" w:hAnsi="Times New Roman" w:cs="Times New Roman"/>
                <w:sz w:val="20"/>
                <w:szCs w:val="20"/>
              </w:rPr>
              <w:t>użytki rolne</w:t>
            </w:r>
          </w:p>
        </w:tc>
        <w:tc>
          <w:tcPr>
            <w:tcW w:w="6854" w:type="dxa"/>
            <w:tcBorders>
              <w:top w:val="nil"/>
              <w:bottom w:val="nil"/>
              <w:right w:val="single" w:sz="4" w:space="0" w:color="5B9BD5"/>
            </w:tcBorders>
            <w:shd w:val="clear" w:color="auto" w:fill="auto"/>
          </w:tcPr>
          <w:p w:rsidR="00DC75FA" w:rsidRDefault="00887D84">
            <w:pPr>
              <w:pStyle w:val="Bezodstpw"/>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69%</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Borders>
              <w:top w:val="nil"/>
              <w:left w:val="single" w:sz="4" w:space="0" w:color="5B9BD5"/>
              <w:bottom w:val="nil"/>
            </w:tcBorders>
          </w:tcPr>
          <w:p w:rsidR="00DC75FA" w:rsidRDefault="00887D84">
            <w:pPr>
              <w:pStyle w:val="Bezodstpw"/>
              <w:spacing w:line="276" w:lineRule="auto"/>
              <w:ind w:left="567"/>
              <w:contextualSpacing/>
              <w:jc w:val="right"/>
              <w:rPr>
                <w:rFonts w:ascii="Times New Roman" w:hAnsi="Times New Roman" w:cs="Times New Roman"/>
                <w:sz w:val="20"/>
                <w:szCs w:val="20"/>
              </w:rPr>
            </w:pPr>
            <w:r>
              <w:rPr>
                <w:rFonts w:ascii="Times New Roman" w:hAnsi="Times New Roman" w:cs="Times New Roman"/>
                <w:sz w:val="20"/>
                <w:szCs w:val="20"/>
              </w:rPr>
              <w:t>użytki leśne</w:t>
            </w:r>
          </w:p>
        </w:tc>
        <w:tc>
          <w:tcPr>
            <w:tcW w:w="6854" w:type="dxa"/>
            <w:tcBorders>
              <w:top w:val="nil"/>
              <w:bottom w:val="nil"/>
              <w:right w:val="single" w:sz="4" w:space="0" w:color="5B9BD5"/>
            </w:tcBorders>
          </w:tcPr>
          <w:p w:rsidR="00DC75FA" w:rsidRDefault="00887D84">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w:t>
            </w:r>
          </w:p>
        </w:tc>
      </w:tr>
      <w:tr w:rsidR="00DC75FA" w:rsidTr="00DC75FA">
        <w:tc>
          <w:tcPr>
            <w:cnfStyle w:val="001000000000" w:firstRow="0" w:lastRow="0" w:firstColumn="1" w:lastColumn="0" w:oddVBand="0" w:evenVBand="0" w:oddHBand="0" w:evenHBand="0" w:firstRowFirstColumn="0" w:firstRowLastColumn="0" w:lastRowFirstColumn="0" w:lastRowLastColumn="0"/>
            <w:tcW w:w="2783" w:type="dxa"/>
            <w:tcBorders>
              <w:top w:val="nil"/>
              <w:left w:val="single" w:sz="4" w:space="0" w:color="5B9BD5"/>
              <w:bottom w:val="nil"/>
            </w:tcBorders>
            <w:shd w:val="clear" w:color="auto" w:fill="auto"/>
          </w:tcPr>
          <w:p w:rsidR="00DC75FA" w:rsidRDefault="00887D84">
            <w:pPr>
              <w:pStyle w:val="Bezodstpw"/>
              <w:spacing w:line="276" w:lineRule="auto"/>
              <w:ind w:left="567"/>
              <w:contextualSpacing/>
              <w:jc w:val="right"/>
              <w:rPr>
                <w:rFonts w:ascii="Times New Roman" w:hAnsi="Times New Roman" w:cs="Times New Roman"/>
                <w:sz w:val="20"/>
                <w:szCs w:val="20"/>
              </w:rPr>
            </w:pPr>
            <w:r>
              <w:rPr>
                <w:rFonts w:ascii="Times New Roman" w:hAnsi="Times New Roman" w:cs="Times New Roman"/>
                <w:sz w:val="20"/>
                <w:szCs w:val="20"/>
              </w:rPr>
              <w:t>grunty zabudowane</w:t>
            </w:r>
            <w:r>
              <w:rPr>
                <w:rFonts w:ascii="Times New Roman" w:hAnsi="Times New Roman" w:cs="Times New Roman"/>
                <w:sz w:val="20"/>
                <w:szCs w:val="20"/>
              </w:rPr>
              <w:br/>
              <w:t>i zurbanizowane</w:t>
            </w:r>
          </w:p>
        </w:tc>
        <w:tc>
          <w:tcPr>
            <w:tcW w:w="6854" w:type="dxa"/>
            <w:tcBorders>
              <w:top w:val="nil"/>
              <w:bottom w:val="nil"/>
              <w:right w:val="single" w:sz="4" w:space="0" w:color="5B9BD5"/>
            </w:tcBorders>
            <w:shd w:val="clear" w:color="auto" w:fill="auto"/>
            <w:vAlign w:val="center"/>
          </w:tcPr>
          <w:p w:rsidR="00DC75FA" w:rsidRDefault="00887D84">
            <w:pPr>
              <w:pStyle w:val="Bezodstpw"/>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3" w:type="dxa"/>
            <w:tcBorders>
              <w:top w:val="nil"/>
              <w:left w:val="single" w:sz="4" w:space="0" w:color="5B9BD5"/>
              <w:bottom w:val="single" w:sz="4" w:space="0" w:color="5B9BD5"/>
            </w:tcBorders>
          </w:tcPr>
          <w:p w:rsidR="00DC75FA" w:rsidRDefault="00887D84">
            <w:pPr>
              <w:pStyle w:val="Bezodstpw"/>
              <w:spacing w:line="276" w:lineRule="auto"/>
              <w:contextualSpacing/>
              <w:jc w:val="right"/>
              <w:rPr>
                <w:rFonts w:ascii="Times New Roman" w:hAnsi="Times New Roman" w:cs="Times New Roman"/>
                <w:sz w:val="20"/>
                <w:szCs w:val="20"/>
              </w:rPr>
            </w:pPr>
            <w:r>
              <w:rPr>
                <w:rFonts w:ascii="Times New Roman" w:hAnsi="Times New Roman" w:cs="Times New Roman"/>
                <w:sz w:val="20"/>
                <w:szCs w:val="20"/>
              </w:rPr>
              <w:t>liczba JST</w:t>
            </w:r>
          </w:p>
        </w:tc>
        <w:tc>
          <w:tcPr>
            <w:tcW w:w="6854" w:type="dxa"/>
            <w:tcBorders>
              <w:top w:val="nil"/>
              <w:bottom w:val="single" w:sz="4" w:space="0" w:color="5B9BD5"/>
              <w:right w:val="single" w:sz="4" w:space="0" w:color="5B9BD5"/>
            </w:tcBorders>
          </w:tcPr>
          <w:p w:rsidR="00DC75FA" w:rsidRDefault="00887D84">
            <w:pPr>
              <w:pStyle w:val="Bezodstpw"/>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p>
        </w:tc>
      </w:tr>
    </w:tbl>
    <w:p w:rsidR="00DC75FA" w:rsidRDefault="00887D84">
      <w:pPr>
        <w:pStyle w:val="rdo"/>
        <w:spacing w:line="276" w:lineRule="auto"/>
        <w:jc w:val="both"/>
        <w:rPr>
          <w:rFonts w:ascii="Times New Roman" w:hAnsi="Times New Roman" w:cs="Times New Roman"/>
          <w:sz w:val="24"/>
        </w:rPr>
      </w:pPr>
      <w:r>
        <w:rPr>
          <w:rFonts w:ascii="Times New Roman" w:hAnsi="Times New Roman" w:cs="Times New Roman"/>
        </w:rP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Na terenie OF dominującym kierunkiem wykorzystania powierzchni są użytki rolne, stanowiące prawie 69% powierzchni całego obszaru funkcjonalnego. Grunty leśne oraz zadrzewione i zakrzewione stanowią prawie 1/5 ogólnej powierzchni OF. Najmniejszą powierzchnię stanowią użytki ekologiczne oraz tereny różne.</w:t>
      </w:r>
    </w:p>
    <w:p w:rsidR="00DC75FA" w:rsidRDefault="00887D84">
      <w:pPr>
        <w:pStyle w:val="aaapodpis"/>
        <w:spacing w:line="276" w:lineRule="auto"/>
      </w:pPr>
      <w:bookmarkStart w:id="59" w:name="_Toc75899466"/>
      <w:r>
        <w:lastRenderedPageBreak/>
        <w:t>Wykres 1: Powierzchnia OF wg kierunków wykorzystania</w:t>
      </w:r>
      <w:bookmarkEnd w:id="59"/>
    </w:p>
    <w:p w:rsidR="00DC75FA" w:rsidRDefault="00887D84">
      <w:pPr>
        <w:jc w:val="center"/>
        <w:rPr>
          <w:highlight w:val="yellow"/>
        </w:rPr>
      </w:pPr>
      <w:r>
        <w:rPr>
          <w:noProof/>
          <w:lang w:eastAsia="pl-PL"/>
        </w:rPr>
        <w:drawing>
          <wp:inline distT="0" distB="0" distL="0" distR="0">
            <wp:extent cx="6120130" cy="3566795"/>
            <wp:effectExtent l="0" t="0" r="0"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highlight w:val="yellow"/>
          <w:lang w:eastAsia="pl-PL"/>
        </w:rPr>
        <w:t xml:space="preserve"> </w:t>
      </w:r>
    </w:p>
    <w:p w:rsidR="00DC75FA" w:rsidRDefault="00887D84">
      <w:pPr>
        <w:pStyle w:val="rdo"/>
        <w:spacing w:line="276" w:lineRule="auto"/>
        <w:jc w:val="both"/>
        <w:rPr>
          <w:rFonts w:ascii="Times New Roman" w:hAnsi="Times New Roman" w:cs="Times New Roman"/>
        </w:rPr>
      </w:pPr>
      <w:r>
        <w:rPr>
          <w:rFonts w:ascii="Times New Roman" w:hAnsi="Times New Roman" w:cs="Times New Roman"/>
        </w:rP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Największą pod względem powierzchni jednostką samorządu terytorialnego wchodzącą w skład OF jest Gmina Urszulin, która stanowi 26,5% całego obszaru funkcjonalnego. Dalej znajdują się: Gmina Cyców, Gmina Ludwin oraz Gmina Milejów. Najmniejszą powierzchnią ma Gmina Puchaczów, która stanowi 14,1% całego OF.</w:t>
      </w:r>
    </w:p>
    <w:p w:rsidR="00DC75FA" w:rsidRDefault="00887D84">
      <w:pPr>
        <w:pStyle w:val="aaapodpis"/>
      </w:pPr>
      <w:bookmarkStart w:id="60" w:name="_Toc75899280"/>
      <w:r>
        <w:t>Tabela 2: Udział powierzchni poszczególnych JST w powierzchni OF ogółem</w:t>
      </w:r>
      <w:bookmarkEnd w:id="60"/>
    </w:p>
    <w:tbl>
      <w:tblPr>
        <w:tblStyle w:val="Jasnecieniowanieakcent11"/>
        <w:tblW w:w="5000" w:type="pct"/>
        <w:tblLook w:val="04A0" w:firstRow="1" w:lastRow="0" w:firstColumn="1" w:lastColumn="0" w:noHBand="0" w:noVBand="1"/>
      </w:tblPr>
      <w:tblGrid>
        <w:gridCol w:w="3282"/>
        <w:gridCol w:w="3285"/>
        <w:gridCol w:w="3287"/>
      </w:tblGrid>
      <w:tr w:rsidR="00DC75FA" w:rsidTr="00DC75FA">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210" w:type="dxa"/>
            <w:tcBorders>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20"/>
                <w:szCs w:val="20"/>
                <w:lang w:eastAsia="pl-PL"/>
              </w:rPr>
            </w:pPr>
          </w:p>
        </w:tc>
        <w:tc>
          <w:tcPr>
            <w:tcW w:w="3213" w:type="dxa"/>
            <w:tcBorders>
              <w:top w:val="single" w:sz="4" w:space="0" w:color="5B9BD5"/>
              <w:left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powierzchnia (ha)</w:t>
            </w:r>
          </w:p>
        </w:tc>
        <w:tc>
          <w:tcPr>
            <w:tcW w:w="3215" w:type="dxa"/>
            <w:tcBorders>
              <w:top w:val="single" w:sz="4" w:space="0" w:color="5B9BD5"/>
              <w:left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udział w powierzchni ogółem</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Borders>
              <w:top w:val="nil"/>
              <w:left w:val="single" w:sz="4" w:space="0" w:color="5B9BD5"/>
              <w:bottom w:val="nil"/>
              <w:right w:val="single" w:sz="4" w:space="0" w:color="5B9BD5"/>
            </w:tcBorders>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sz w:val="20"/>
                <w:szCs w:val="20"/>
              </w:rPr>
              <w:t>Cyców</w:t>
            </w:r>
          </w:p>
        </w:tc>
        <w:tc>
          <w:tcPr>
            <w:tcW w:w="3213" w:type="dxa"/>
            <w:tcBorders>
              <w:top w:val="nil"/>
              <w:left w:val="single" w:sz="4" w:space="0" w:color="5B9BD5"/>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sz w:val="20"/>
                <w:szCs w:val="20"/>
              </w:rPr>
              <w:t>14 811</w:t>
            </w:r>
          </w:p>
        </w:tc>
        <w:tc>
          <w:tcPr>
            <w:tcW w:w="3215" w:type="dxa"/>
            <w:tcBorders>
              <w:top w:val="nil"/>
              <w:left w:val="single" w:sz="4" w:space="0" w:color="5B9BD5"/>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22,8%</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3210"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sz w:val="20"/>
                <w:szCs w:val="20"/>
              </w:rPr>
              <w:t>Ludwin</w:t>
            </w:r>
          </w:p>
        </w:tc>
        <w:tc>
          <w:tcPr>
            <w:tcW w:w="3213"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sz w:val="20"/>
                <w:szCs w:val="20"/>
              </w:rPr>
              <w:t>12 217</w:t>
            </w:r>
          </w:p>
        </w:tc>
        <w:tc>
          <w:tcPr>
            <w:tcW w:w="3215"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18,8%</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Borders>
              <w:top w:val="nil"/>
              <w:left w:val="single" w:sz="4" w:space="0" w:color="5B9BD5"/>
              <w:bottom w:val="nil"/>
              <w:right w:val="single" w:sz="4" w:space="0" w:color="5B9BD5"/>
            </w:tcBorders>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sz w:val="20"/>
                <w:szCs w:val="20"/>
              </w:rPr>
              <w:t>Milejów</w:t>
            </w:r>
          </w:p>
        </w:tc>
        <w:tc>
          <w:tcPr>
            <w:tcW w:w="3213" w:type="dxa"/>
            <w:tcBorders>
              <w:top w:val="nil"/>
              <w:left w:val="single" w:sz="4" w:space="0" w:color="5B9BD5"/>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sz w:val="20"/>
                <w:szCs w:val="20"/>
              </w:rPr>
              <w:t>11 654</w:t>
            </w:r>
          </w:p>
        </w:tc>
        <w:tc>
          <w:tcPr>
            <w:tcW w:w="3215" w:type="dxa"/>
            <w:tcBorders>
              <w:top w:val="nil"/>
              <w:left w:val="single" w:sz="4" w:space="0" w:color="5B9BD5"/>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17,9%</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3210"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sz w:val="20"/>
                <w:szCs w:val="20"/>
              </w:rPr>
              <w:t>Puchaczów</w:t>
            </w:r>
          </w:p>
        </w:tc>
        <w:tc>
          <w:tcPr>
            <w:tcW w:w="3213"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sz w:val="20"/>
                <w:szCs w:val="20"/>
              </w:rPr>
              <w:t>9 153</w:t>
            </w:r>
          </w:p>
        </w:tc>
        <w:tc>
          <w:tcPr>
            <w:tcW w:w="3215"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10" w:type="dxa"/>
            <w:tcBorders>
              <w:top w:val="nil"/>
              <w:left w:val="single" w:sz="4" w:space="0" w:color="5B9BD5"/>
              <w:right w:val="single" w:sz="4" w:space="0" w:color="5B9BD5"/>
            </w:tcBorders>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sz w:val="20"/>
                <w:szCs w:val="20"/>
              </w:rPr>
              <w:t>Urszulin</w:t>
            </w:r>
          </w:p>
        </w:tc>
        <w:tc>
          <w:tcPr>
            <w:tcW w:w="3213" w:type="dxa"/>
            <w:tcBorders>
              <w:top w:val="nil"/>
              <w:left w:val="single" w:sz="4" w:space="0" w:color="5B9BD5"/>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sz w:val="20"/>
                <w:szCs w:val="20"/>
              </w:rPr>
              <w:t>17 214</w:t>
            </w:r>
          </w:p>
        </w:tc>
        <w:tc>
          <w:tcPr>
            <w:tcW w:w="3215" w:type="dxa"/>
            <w:tcBorders>
              <w:top w:val="nil"/>
              <w:left w:val="single" w:sz="4" w:space="0" w:color="5B9BD5"/>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26,5%</w:t>
            </w:r>
          </w:p>
        </w:tc>
      </w:tr>
    </w:tbl>
    <w:p w:rsidR="00DC75FA" w:rsidRDefault="00887D84">
      <w:pPr>
        <w:pStyle w:val="rdo"/>
        <w:spacing w:line="276" w:lineRule="auto"/>
        <w:jc w:val="both"/>
        <w:rPr>
          <w:rFonts w:ascii="Times New Roman" w:hAnsi="Times New Roman" w:cs="Times New Roman"/>
        </w:rPr>
      </w:pPr>
      <w:r>
        <w:rPr>
          <w:rFonts w:ascii="Times New Roman" w:hAnsi="Times New Roman" w:cs="Times New Roman"/>
        </w:rP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każdej z gmin największą powierzchnię stanowią użytki rolne. Ze wszystkich gmin wchodzący w skład obszaru funkcjonalnego największą powierzchnię użytków rolnych posiada Gmina Cyców i jest to 11 642 ha. Gmina Puchaczów może pochwalić się największą powierzchnią gruntów leśnych, która wynosi 5 404 ha i jest większa prawie pięciokrotnie od powierzchni gruntów leśnych Gminy Puchaczów.</w:t>
      </w:r>
    </w:p>
    <w:p w:rsidR="00DC75FA" w:rsidRDefault="00887D84">
      <w:pPr>
        <w:pStyle w:val="aaapodpis"/>
        <w:spacing w:line="276" w:lineRule="auto"/>
      </w:pPr>
      <w:bookmarkStart w:id="61" w:name="_Toc75899467"/>
      <w:r>
        <w:lastRenderedPageBreak/>
        <w:t>Wykres 2: Powierzchnia JST wchodzących w skład OF wg kierunków wykorzystania (w ha)</w:t>
      </w:r>
      <w:bookmarkEnd w:id="61"/>
    </w:p>
    <w:p w:rsidR="00DC75FA" w:rsidRDefault="00887D84">
      <w:pPr>
        <w:pStyle w:val="rdo"/>
        <w:spacing w:line="276" w:lineRule="auto"/>
        <w:jc w:val="both"/>
        <w:rPr>
          <w:rFonts w:ascii="Times New Roman" w:hAnsi="Times New Roman" w:cs="Times New Roman"/>
        </w:rPr>
      </w:pPr>
      <w:r>
        <w:rPr>
          <w:noProof/>
          <w:lang w:eastAsia="pl-PL"/>
        </w:rPr>
        <w:drawing>
          <wp:inline distT="0" distB="0" distL="0" distR="0">
            <wp:extent cx="6120130" cy="3492500"/>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Times New Roman" w:hAnsi="Times New Roman" w:cs="Times New Roman"/>
          <w:highlight w:val="yellow"/>
        </w:rPr>
        <w:t xml:space="preserve"> </w:t>
      </w:r>
      <w:r>
        <w:rPr>
          <w:rFonts w:ascii="Times New Roman" w:hAnsi="Times New Roman" w:cs="Times New Roman"/>
        </w:rPr>
        <w:t>Źródło: opracowanie własne na podstawie danych GUS – Bank Danych Lokalnych.</w:t>
      </w:r>
    </w:p>
    <w:p w:rsidR="00DC75FA" w:rsidRDefault="00887D84">
      <w:pPr>
        <w:pStyle w:val="aapodpis"/>
      </w:pPr>
      <w:bookmarkStart w:id="62" w:name="_Toc75899468"/>
      <w:r>
        <w:t>Wykres 3: Powierzchnia JST wchodzących w skład OF wg kierunków wykorzystania (w %)</w:t>
      </w:r>
      <w:bookmarkEnd w:id="62"/>
    </w:p>
    <w:p w:rsidR="00DC75FA" w:rsidRDefault="00887D84">
      <w:pPr>
        <w:pStyle w:val="rdo"/>
        <w:spacing w:line="276" w:lineRule="auto"/>
        <w:jc w:val="both"/>
        <w:rPr>
          <w:rFonts w:ascii="Times New Roman" w:hAnsi="Times New Roman" w:cs="Times New Roman"/>
          <w:highlight w:val="yellow"/>
        </w:rPr>
      </w:pPr>
      <w:r>
        <w:rPr>
          <w:noProof/>
          <w:lang w:eastAsia="pl-PL"/>
        </w:rPr>
        <w:drawing>
          <wp:inline distT="0" distB="0" distL="0" distR="0">
            <wp:extent cx="6120130" cy="2743200"/>
            <wp:effectExtent l="0" t="0" r="0"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rFonts w:ascii="Times New Roman" w:hAnsi="Times New Roman" w:cs="Times New Roman"/>
          <w:highlight w:val="yellow"/>
        </w:rPr>
        <w:t xml:space="preserve"> </w:t>
      </w:r>
    </w:p>
    <w:p w:rsidR="00DC75FA" w:rsidRDefault="00887D84">
      <w:pPr>
        <w:pStyle w:val="rdo"/>
        <w:spacing w:line="276" w:lineRule="auto"/>
        <w:jc w:val="both"/>
        <w:rPr>
          <w:rFonts w:ascii="Times New Roman" w:hAnsi="Times New Roman" w:cs="Times New Roman"/>
        </w:rPr>
      </w:pPr>
      <w:r>
        <w:rPr>
          <w:rFonts w:ascii="Times New Roman" w:hAnsi="Times New Roman" w:cs="Times New Roman"/>
        </w:rPr>
        <w:t>Źródło: opracowanie własne na podstawie danych GUS – Bank Danych Lokalnych.</w:t>
      </w:r>
    </w:p>
    <w:p w:rsidR="00DC75FA" w:rsidRDefault="00887D84">
      <w:pPr>
        <w:rPr>
          <w:rFonts w:ascii="Times New Roman" w:hAnsi="Times New Roman" w:cs="Times New Roman"/>
          <w:b/>
          <w:color w:val="5B9BD5" w:themeColor="accent1"/>
          <w:sz w:val="24"/>
          <w:szCs w:val="24"/>
          <w:highlight w:val="yellow"/>
        </w:rPr>
      </w:pPr>
      <w:r>
        <w:br w:type="page"/>
      </w:r>
    </w:p>
    <w:p w:rsidR="00DC75FA" w:rsidRDefault="00887D84">
      <w:pPr>
        <w:pStyle w:val="Bezodstpw"/>
        <w:numPr>
          <w:ilvl w:val="1"/>
          <w:numId w:val="25"/>
        </w:numPr>
        <w:spacing w:after="240" w:line="276" w:lineRule="auto"/>
        <w:ind w:left="788" w:hanging="431"/>
        <w:jc w:val="both"/>
        <w:outlineLvl w:val="2"/>
        <w:rPr>
          <w:rFonts w:ascii="Times New Roman" w:hAnsi="Times New Roman" w:cs="Times New Roman"/>
          <w:b/>
          <w:color w:val="5B9BD5" w:themeColor="accent1"/>
          <w:sz w:val="24"/>
          <w:szCs w:val="24"/>
        </w:rPr>
      </w:pPr>
      <w:bookmarkStart w:id="63" w:name="_Toc116896669"/>
      <w:bookmarkStart w:id="64" w:name="_Toc105754710"/>
      <w:r>
        <w:rPr>
          <w:rFonts w:ascii="Times New Roman" w:hAnsi="Times New Roman" w:cs="Times New Roman"/>
          <w:b/>
          <w:color w:val="5B9BD5" w:themeColor="accent1"/>
          <w:sz w:val="24"/>
          <w:szCs w:val="24"/>
        </w:rPr>
        <w:lastRenderedPageBreak/>
        <w:t>SPOŁECZEŃSTWO</w:t>
      </w:r>
      <w:bookmarkEnd w:id="63"/>
      <w:bookmarkEnd w:id="64"/>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65" w:name="_Toc116896670"/>
      <w:r>
        <w:rPr>
          <w:rFonts w:ascii="Times New Roman" w:hAnsi="Times New Roman" w:cs="Times New Roman"/>
          <w:b/>
          <w:color w:val="5B9BD5" w:themeColor="accent1"/>
          <w:sz w:val="24"/>
          <w:szCs w:val="24"/>
        </w:rPr>
        <w:t>Demografia</w:t>
      </w:r>
      <w:bookmarkEnd w:id="65"/>
    </w:p>
    <w:p w:rsidR="00DC75FA" w:rsidRDefault="00887D84">
      <w:pPr>
        <w:ind w:firstLine="567"/>
        <w:jc w:val="both"/>
        <w:rPr>
          <w:rFonts w:ascii="Times New Roman" w:hAnsi="Times New Roman" w:cs="Times New Roman"/>
        </w:rPr>
      </w:pPr>
      <w:r>
        <w:rPr>
          <w:rFonts w:ascii="Times New Roman" w:hAnsi="Times New Roman" w:cs="Times New Roman"/>
          <w:szCs w:val="20"/>
        </w:rPr>
        <w:t xml:space="preserve">Na koniec 2019 r. liczba ludności Obszaru Funkcjonalnego wyniosła 32 477 i była o 0,6 % wyższa niż w 2015 r. </w:t>
      </w:r>
      <w:r>
        <w:rPr>
          <w:rFonts w:ascii="Times New Roman" w:hAnsi="Times New Roman" w:cs="Times New Roman"/>
        </w:rPr>
        <w:t>Tabela 3 prezentuje dokładną liczbę ludności we wszystkich samorządach wchodzących w skład OF. Wśród nich, w analizowanym okresie, najliczniejszą populacją cechowała się Gmina Milejów, Gmina Cyców, Gmina Puchaczów oraz Gmina Ludwin. Najmniejszą liczbę mieszkańców posiadała Gmina Urszulin. Wśród Gmin wchodzących w skład OF nie zanotowano większych zmian w liczbie ludności. Największy wzrost liczby mieszkańców miał miejsce w Gminie Ludwin oraz Gminie Puchaczów (wzrost odpowiednio o 3,6%  oraz 3,3% w porównaniu do roku 2015), natomiast największy spadek w Gminie Milejów (-1,9% w porównaniu do 2015 r.). Liczba ludności Gminy Cyców jest najbardziej stabilna ze wszystkich gmin wchodzących w skład OF.</w:t>
      </w:r>
    </w:p>
    <w:p w:rsidR="00DC75FA" w:rsidRDefault="00887D84">
      <w:pPr>
        <w:pStyle w:val="aaapodpis"/>
        <w:spacing w:line="276" w:lineRule="auto"/>
      </w:pPr>
      <w:bookmarkStart w:id="66" w:name="_Toc75899469"/>
      <w:r>
        <w:t>Wykres 4: Łączna liczba ludności w OF w latach 2015–2019</w:t>
      </w:r>
      <w:bookmarkEnd w:id="66"/>
    </w:p>
    <w:p w:rsidR="00DC75FA" w:rsidRDefault="00887D84">
      <w:pPr>
        <w:pStyle w:val="rdo"/>
        <w:spacing w:line="276" w:lineRule="auto"/>
        <w:jc w:val="both"/>
        <w:rPr>
          <w:rFonts w:ascii="Times New Roman" w:hAnsi="Times New Roman" w:cs="Times New Roman"/>
          <w:highlight w:val="yellow"/>
        </w:rPr>
      </w:pPr>
      <w:r>
        <w:rPr>
          <w:noProof/>
          <w:lang w:eastAsia="pl-PL"/>
        </w:rPr>
        <w:drawing>
          <wp:inline distT="0" distB="0" distL="0" distR="0">
            <wp:extent cx="6238875" cy="1223010"/>
            <wp:effectExtent l="0" t="0" r="0"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rFonts w:ascii="Times New Roman" w:hAnsi="Times New Roman" w:cs="Times New Roman"/>
          <w:highlight w:val="yellow"/>
        </w:rPr>
        <w:t xml:space="preserve"> </w:t>
      </w:r>
    </w:p>
    <w:p w:rsidR="00DC75FA" w:rsidRDefault="00887D84">
      <w:pPr>
        <w:pStyle w:val="rdo"/>
        <w:spacing w:line="276" w:lineRule="auto"/>
        <w:jc w:val="both"/>
        <w:rPr>
          <w:rFonts w:ascii="Times New Roman" w:hAnsi="Times New Roman" w:cs="Times New Roman"/>
          <w:sz w:val="24"/>
        </w:rPr>
      </w:pPr>
      <w:r>
        <w:rPr>
          <w:rFonts w:ascii="Times New Roman" w:hAnsi="Times New Roman" w:cs="Times New Roman"/>
        </w:rPr>
        <w:t>Źródło: opracowanie własne na podstawie danych GUS – Bank Danych Lokalnych.</w:t>
      </w:r>
    </w:p>
    <w:p w:rsidR="00DC75FA" w:rsidRDefault="00887D84">
      <w:pPr>
        <w:pStyle w:val="aaapodpis"/>
        <w:spacing w:line="276" w:lineRule="auto"/>
      </w:pPr>
      <w:bookmarkStart w:id="67" w:name="_Toc75899281"/>
      <w:r>
        <w:t>Tabela 3: Liczba ludności w poszczególnych JST OF w latach 2015–2019</w:t>
      </w:r>
      <w:bookmarkEnd w:id="67"/>
    </w:p>
    <w:tbl>
      <w:tblPr>
        <w:tblStyle w:val="Jasnecieniowanieakcent11"/>
        <w:tblW w:w="5000" w:type="pct"/>
        <w:tblLook w:val="04A0" w:firstRow="1" w:lastRow="0" w:firstColumn="1" w:lastColumn="0" w:noHBand="0" w:noVBand="1"/>
      </w:tblPr>
      <w:tblGrid>
        <w:gridCol w:w="2408"/>
        <w:gridCol w:w="1242"/>
        <w:gridCol w:w="1242"/>
        <w:gridCol w:w="1241"/>
        <w:gridCol w:w="1241"/>
        <w:gridCol w:w="1241"/>
        <w:gridCol w:w="1239"/>
      </w:tblGrid>
      <w:tr w:rsidR="00DC75FA" w:rsidTr="00DC75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4" w:type="dxa"/>
            <w:tcBorders>
              <w:top w:val="single" w:sz="4" w:space="0" w:color="5B9BD5"/>
              <w:lef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 </w:t>
            </w:r>
          </w:p>
        </w:tc>
        <w:tc>
          <w:tcPr>
            <w:tcW w:w="1214"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2015</w:t>
            </w:r>
          </w:p>
        </w:tc>
        <w:tc>
          <w:tcPr>
            <w:tcW w:w="1215"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2016</w:t>
            </w:r>
          </w:p>
        </w:tc>
        <w:tc>
          <w:tcPr>
            <w:tcW w:w="1214"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2017</w:t>
            </w:r>
          </w:p>
        </w:tc>
        <w:tc>
          <w:tcPr>
            <w:tcW w:w="1214"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2018</w:t>
            </w:r>
          </w:p>
        </w:tc>
        <w:tc>
          <w:tcPr>
            <w:tcW w:w="1214" w:type="dxa"/>
            <w:tcBorders>
              <w:top w:val="single" w:sz="4" w:space="0" w:color="5B9BD5"/>
              <w:right w:val="single" w:sz="8"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2019</w:t>
            </w:r>
          </w:p>
        </w:tc>
        <w:tc>
          <w:tcPr>
            <w:tcW w:w="1212" w:type="dxa"/>
            <w:tcBorders>
              <w:top w:val="single" w:sz="4" w:space="0" w:color="5B9BD5"/>
              <w:left w:val="single" w:sz="8"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highlight w:val="yellow"/>
                <w:lang w:eastAsia="pl-PL"/>
              </w:rPr>
            </w:pPr>
            <w:r>
              <w:rPr>
                <w:rFonts w:asciiTheme="majorHAnsi" w:hAnsiTheme="majorHAnsi" w:cstheme="majorHAnsi"/>
                <w:i/>
                <w:iCs/>
                <w:sz w:val="20"/>
                <w:szCs w:val="20"/>
              </w:rPr>
              <w:t>zmiana</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4" w:type="dxa"/>
            <w:tcBorders>
              <w:top w:val="nil"/>
              <w:left w:val="single" w:sz="4" w:space="0" w:color="5B9BD5"/>
              <w:bottom w:val="nil"/>
            </w:tcBorders>
            <w:vAlign w:val="bottom"/>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Cyców</w:t>
            </w:r>
          </w:p>
        </w:tc>
        <w:tc>
          <w:tcPr>
            <w:tcW w:w="1214"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7 931</w:t>
            </w:r>
          </w:p>
        </w:tc>
        <w:tc>
          <w:tcPr>
            <w:tcW w:w="1215"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7 951</w:t>
            </w:r>
          </w:p>
        </w:tc>
        <w:tc>
          <w:tcPr>
            <w:tcW w:w="1214"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7 911</w:t>
            </w:r>
          </w:p>
        </w:tc>
        <w:tc>
          <w:tcPr>
            <w:tcW w:w="1214"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7 967</w:t>
            </w:r>
          </w:p>
        </w:tc>
        <w:tc>
          <w:tcPr>
            <w:tcW w:w="1214" w:type="dxa"/>
            <w:tcBorders>
              <w:top w:val="nil"/>
              <w:bottom w:val="nil"/>
              <w:right w:val="single" w:sz="8"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7 912</w:t>
            </w:r>
          </w:p>
        </w:tc>
        <w:tc>
          <w:tcPr>
            <w:tcW w:w="1212" w:type="dxa"/>
            <w:tcBorders>
              <w:top w:val="nil"/>
              <w:left w:val="single" w:sz="8"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highlight w:val="yellow"/>
                <w:lang w:eastAsia="pl-PL"/>
              </w:rPr>
            </w:pPr>
            <w:r>
              <w:rPr>
                <w:rFonts w:asciiTheme="majorHAnsi" w:hAnsiTheme="majorHAnsi" w:cstheme="majorHAnsi"/>
                <w:i/>
                <w:iCs/>
                <w:sz w:val="20"/>
                <w:szCs w:val="20"/>
              </w:rPr>
              <w:t>-0,2%</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2354"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Ludwin</w:t>
            </w:r>
          </w:p>
        </w:tc>
        <w:tc>
          <w:tcPr>
            <w:tcW w:w="121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5 443</w:t>
            </w:r>
          </w:p>
        </w:tc>
        <w:tc>
          <w:tcPr>
            <w:tcW w:w="1215"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5 501</w:t>
            </w:r>
          </w:p>
        </w:tc>
        <w:tc>
          <w:tcPr>
            <w:tcW w:w="121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5 584</w:t>
            </w:r>
          </w:p>
        </w:tc>
        <w:tc>
          <w:tcPr>
            <w:tcW w:w="121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5 595</w:t>
            </w:r>
          </w:p>
        </w:tc>
        <w:tc>
          <w:tcPr>
            <w:tcW w:w="1214" w:type="dxa"/>
            <w:tcBorders>
              <w:top w:val="nil"/>
              <w:bottom w:val="nil"/>
              <w:right w:val="single" w:sz="8"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5 641</w:t>
            </w:r>
          </w:p>
        </w:tc>
        <w:tc>
          <w:tcPr>
            <w:tcW w:w="1212" w:type="dxa"/>
            <w:tcBorders>
              <w:top w:val="nil"/>
              <w:left w:val="single" w:sz="8"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highlight w:val="yellow"/>
                <w:lang w:eastAsia="pl-PL"/>
              </w:rPr>
            </w:pPr>
            <w:r>
              <w:rPr>
                <w:rFonts w:asciiTheme="majorHAnsi" w:hAnsiTheme="majorHAnsi" w:cstheme="majorHAnsi"/>
                <w:i/>
                <w:iCs/>
                <w:sz w:val="20"/>
                <w:szCs w:val="20"/>
              </w:rPr>
              <w:t>3,6%</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4" w:type="dxa"/>
            <w:tcBorders>
              <w:top w:val="nil"/>
              <w:left w:val="single" w:sz="4" w:space="0" w:color="5B9BD5"/>
              <w:bottom w:val="nil"/>
            </w:tcBorders>
            <w:vAlign w:val="bottom"/>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Milejów</w:t>
            </w:r>
          </w:p>
        </w:tc>
        <w:tc>
          <w:tcPr>
            <w:tcW w:w="1214"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9 263</w:t>
            </w:r>
          </w:p>
        </w:tc>
        <w:tc>
          <w:tcPr>
            <w:tcW w:w="1215"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9 208</w:t>
            </w:r>
          </w:p>
        </w:tc>
        <w:tc>
          <w:tcPr>
            <w:tcW w:w="1214"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9 190</w:t>
            </w:r>
          </w:p>
        </w:tc>
        <w:tc>
          <w:tcPr>
            <w:tcW w:w="1214"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9 107</w:t>
            </w:r>
          </w:p>
        </w:tc>
        <w:tc>
          <w:tcPr>
            <w:tcW w:w="1214" w:type="dxa"/>
            <w:tcBorders>
              <w:top w:val="nil"/>
              <w:bottom w:val="nil"/>
              <w:right w:val="single" w:sz="8"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9 085</w:t>
            </w:r>
          </w:p>
        </w:tc>
        <w:tc>
          <w:tcPr>
            <w:tcW w:w="1212" w:type="dxa"/>
            <w:tcBorders>
              <w:top w:val="nil"/>
              <w:left w:val="single" w:sz="8"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highlight w:val="yellow"/>
                <w:lang w:eastAsia="pl-PL"/>
              </w:rPr>
            </w:pPr>
            <w:r>
              <w:rPr>
                <w:rFonts w:asciiTheme="majorHAnsi" w:hAnsiTheme="majorHAnsi" w:cstheme="majorHAnsi"/>
                <w:i/>
                <w:iCs/>
                <w:sz w:val="20"/>
                <w:szCs w:val="20"/>
              </w:rPr>
              <w:t>-1,9%</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2354"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Puchaczów</w:t>
            </w:r>
          </w:p>
        </w:tc>
        <w:tc>
          <w:tcPr>
            <w:tcW w:w="121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5 513</w:t>
            </w:r>
          </w:p>
        </w:tc>
        <w:tc>
          <w:tcPr>
            <w:tcW w:w="1215"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5 558</w:t>
            </w:r>
          </w:p>
        </w:tc>
        <w:tc>
          <w:tcPr>
            <w:tcW w:w="121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5 616</w:t>
            </w:r>
          </w:p>
        </w:tc>
        <w:tc>
          <w:tcPr>
            <w:tcW w:w="121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5 684</w:t>
            </w:r>
          </w:p>
        </w:tc>
        <w:tc>
          <w:tcPr>
            <w:tcW w:w="1214" w:type="dxa"/>
            <w:tcBorders>
              <w:top w:val="nil"/>
              <w:bottom w:val="nil"/>
              <w:right w:val="single" w:sz="8"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5 693</w:t>
            </w:r>
          </w:p>
        </w:tc>
        <w:tc>
          <w:tcPr>
            <w:tcW w:w="1212" w:type="dxa"/>
            <w:tcBorders>
              <w:top w:val="nil"/>
              <w:left w:val="single" w:sz="8"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highlight w:val="yellow"/>
                <w:lang w:eastAsia="pl-PL"/>
              </w:rPr>
            </w:pPr>
            <w:r>
              <w:rPr>
                <w:rFonts w:asciiTheme="majorHAnsi" w:hAnsiTheme="majorHAnsi" w:cstheme="majorHAnsi"/>
                <w:i/>
                <w:iCs/>
                <w:sz w:val="20"/>
                <w:szCs w:val="20"/>
              </w:rPr>
              <w:t>3,3%</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4" w:type="dxa"/>
            <w:tcBorders>
              <w:top w:val="nil"/>
              <w:left w:val="single" w:sz="4" w:space="0" w:color="5B9BD5"/>
            </w:tcBorders>
            <w:vAlign w:val="bottom"/>
          </w:tcPr>
          <w:p w:rsidR="00DC75FA" w:rsidRDefault="00887D84">
            <w:pPr>
              <w:spacing w:after="0" w:line="240" w:lineRule="auto"/>
              <w:jc w:val="center"/>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Urszulin</w:t>
            </w:r>
          </w:p>
        </w:tc>
        <w:tc>
          <w:tcPr>
            <w:tcW w:w="1214"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4 119</w:t>
            </w:r>
          </w:p>
        </w:tc>
        <w:tc>
          <w:tcPr>
            <w:tcW w:w="1215"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4 141</w:t>
            </w:r>
          </w:p>
        </w:tc>
        <w:tc>
          <w:tcPr>
            <w:tcW w:w="1214"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4 135</w:t>
            </w:r>
          </w:p>
        </w:tc>
        <w:tc>
          <w:tcPr>
            <w:tcW w:w="1214"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4 179</w:t>
            </w:r>
          </w:p>
        </w:tc>
        <w:tc>
          <w:tcPr>
            <w:tcW w:w="1214" w:type="dxa"/>
            <w:tcBorders>
              <w:top w:val="nil"/>
              <w:right w:val="single" w:sz="8"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highlight w:val="yellow"/>
                <w:lang w:eastAsia="pl-PL"/>
              </w:rPr>
            </w:pPr>
            <w:r>
              <w:rPr>
                <w:rFonts w:asciiTheme="majorHAnsi" w:hAnsiTheme="majorHAnsi" w:cstheme="majorHAnsi"/>
                <w:sz w:val="20"/>
                <w:szCs w:val="20"/>
              </w:rPr>
              <w:t>4 146</w:t>
            </w:r>
          </w:p>
        </w:tc>
        <w:tc>
          <w:tcPr>
            <w:tcW w:w="1212" w:type="dxa"/>
            <w:tcBorders>
              <w:top w:val="nil"/>
              <w:left w:val="single" w:sz="8"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highlight w:val="yellow"/>
                <w:lang w:eastAsia="pl-PL"/>
              </w:rPr>
            </w:pPr>
            <w:r>
              <w:rPr>
                <w:rFonts w:asciiTheme="majorHAnsi" w:hAnsiTheme="majorHAnsi" w:cstheme="majorHAnsi"/>
                <w:i/>
                <w:iCs/>
                <w:sz w:val="20"/>
                <w:szCs w:val="20"/>
              </w:rPr>
              <w:t>0,7%</w:t>
            </w:r>
          </w:p>
        </w:tc>
      </w:tr>
    </w:tbl>
    <w:p w:rsidR="00DC75FA" w:rsidRDefault="00887D84">
      <w:pPr>
        <w:pStyle w:val="rdo"/>
        <w:spacing w:line="276" w:lineRule="auto"/>
        <w:jc w:val="both"/>
        <w:rPr>
          <w:rFonts w:ascii="Times New Roman" w:hAnsi="Times New Roman" w:cs="Times New Roman"/>
          <w:sz w:val="24"/>
        </w:rPr>
      </w:pPr>
      <w:r>
        <w:rPr>
          <w:rFonts w:ascii="Times New Roman" w:hAnsi="Times New Roman" w:cs="Times New Roman"/>
        </w:rP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Średni stosunek liczby kobiet do liczby mężczyzn na terenie OF w latach 2015–2019 zmienił się o 0,2% i w 2019 r. wynosił 103, co oznacza, że na 100 mężczyzn w przypadało 103 kobiet. Najwyższy współczynnik feminizacji występował w Gminach Milejów oraz Puchaczów (105), najniższy zaś w Gminie Urszulin – wynosił 97 kobiet na 100 mężczyzn. W gminach Cyców, Ludwin oraz Puchaczów współczynnik feminizacji pozostał stały w porównaniu do roku 2015 oraz 2019.</w:t>
      </w:r>
    </w:p>
    <w:p w:rsidR="00DC75FA" w:rsidRDefault="00887D84">
      <w:pPr>
        <w:pStyle w:val="aaapodpis"/>
        <w:spacing w:line="276" w:lineRule="auto"/>
      </w:pPr>
      <w:bookmarkStart w:id="68" w:name="_Toc75899282"/>
      <w:r>
        <w:t>Tabela 4: Współczynnik feminizacji w poszczególnych JST OF w latach 2015–2019</w:t>
      </w:r>
      <w:bookmarkEnd w:id="68"/>
    </w:p>
    <w:tbl>
      <w:tblPr>
        <w:tblStyle w:val="Jasnecieniowanieakcent11"/>
        <w:tblW w:w="5000" w:type="pct"/>
        <w:tblLook w:val="04A0" w:firstRow="1" w:lastRow="0" w:firstColumn="1" w:lastColumn="0" w:noHBand="0" w:noVBand="1"/>
      </w:tblPr>
      <w:tblGrid>
        <w:gridCol w:w="2918"/>
        <w:gridCol w:w="1160"/>
        <w:gridCol w:w="1155"/>
        <w:gridCol w:w="1157"/>
        <w:gridCol w:w="1155"/>
        <w:gridCol w:w="1155"/>
        <w:gridCol w:w="1154"/>
      </w:tblGrid>
      <w:tr w:rsidR="00DC75FA" w:rsidTr="00DC75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3" w:type="dxa"/>
            <w:tcBorders>
              <w:top w:val="single" w:sz="4" w:space="0" w:color="5B9BD5"/>
              <w:lef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20"/>
                <w:szCs w:val="20"/>
                <w:lang w:eastAsia="pl-PL"/>
              </w:rPr>
            </w:pPr>
          </w:p>
        </w:tc>
        <w:tc>
          <w:tcPr>
            <w:tcW w:w="1133"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2015</w:t>
            </w:r>
          </w:p>
        </w:tc>
        <w:tc>
          <w:tcPr>
            <w:tcW w:w="1130"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2016</w:t>
            </w:r>
          </w:p>
        </w:tc>
        <w:tc>
          <w:tcPr>
            <w:tcW w:w="1132"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2017</w:t>
            </w:r>
          </w:p>
        </w:tc>
        <w:tc>
          <w:tcPr>
            <w:tcW w:w="1130"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2018</w:t>
            </w:r>
          </w:p>
        </w:tc>
        <w:tc>
          <w:tcPr>
            <w:tcW w:w="1130" w:type="dxa"/>
            <w:tcBorders>
              <w:top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2019</w:t>
            </w:r>
          </w:p>
        </w:tc>
        <w:tc>
          <w:tcPr>
            <w:tcW w:w="1129" w:type="dxa"/>
            <w:tcBorders>
              <w:top w:val="single" w:sz="4" w:space="0" w:color="5B9BD5"/>
              <w:left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Cs/>
                <w:sz w:val="20"/>
                <w:szCs w:val="20"/>
                <w:lang w:eastAsia="pl-PL"/>
              </w:rPr>
            </w:pPr>
            <w:r>
              <w:rPr>
                <w:rFonts w:asciiTheme="majorHAnsi" w:eastAsia="Times New Roman" w:hAnsiTheme="majorHAnsi" w:cstheme="majorHAnsi"/>
                <w:iCs/>
                <w:sz w:val="20"/>
                <w:szCs w:val="20"/>
                <w:lang w:eastAsia="pl-PL"/>
              </w:rPr>
              <w:t>Zmiana</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3" w:type="dxa"/>
            <w:tcBorders>
              <w:top w:val="nil"/>
              <w:left w:val="single" w:sz="4" w:space="0" w:color="5B9BD5"/>
              <w:bottom w:val="nil"/>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Cyców</w:t>
            </w:r>
          </w:p>
        </w:tc>
        <w:tc>
          <w:tcPr>
            <w:tcW w:w="113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104</w:t>
            </w:r>
          </w:p>
        </w:tc>
        <w:tc>
          <w:tcPr>
            <w:tcW w:w="1130"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105</w:t>
            </w:r>
          </w:p>
        </w:tc>
        <w:tc>
          <w:tcPr>
            <w:tcW w:w="113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104</w:t>
            </w:r>
          </w:p>
        </w:tc>
        <w:tc>
          <w:tcPr>
            <w:tcW w:w="1130"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104</w:t>
            </w:r>
          </w:p>
        </w:tc>
        <w:tc>
          <w:tcPr>
            <w:tcW w:w="1130"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104</w:t>
            </w:r>
          </w:p>
        </w:tc>
        <w:tc>
          <w:tcPr>
            <w:tcW w:w="1129"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Cs/>
                <w:sz w:val="20"/>
                <w:szCs w:val="20"/>
                <w:lang w:eastAsia="pl-PL"/>
              </w:rPr>
            </w:pPr>
            <w:r>
              <w:rPr>
                <w:rFonts w:asciiTheme="majorHAnsi" w:hAnsiTheme="majorHAnsi" w:cstheme="majorHAnsi"/>
                <w:iCs/>
                <w:sz w:val="20"/>
                <w:szCs w:val="20"/>
              </w:rPr>
              <w:t>0,0%</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2853"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Ludwin</w:t>
            </w:r>
          </w:p>
        </w:tc>
        <w:tc>
          <w:tcPr>
            <w:tcW w:w="1133"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102</w:t>
            </w:r>
          </w:p>
        </w:tc>
        <w:tc>
          <w:tcPr>
            <w:tcW w:w="1130"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101</w:t>
            </w:r>
          </w:p>
        </w:tc>
        <w:tc>
          <w:tcPr>
            <w:tcW w:w="113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103</w:t>
            </w:r>
          </w:p>
        </w:tc>
        <w:tc>
          <w:tcPr>
            <w:tcW w:w="1130"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102</w:t>
            </w:r>
          </w:p>
        </w:tc>
        <w:tc>
          <w:tcPr>
            <w:tcW w:w="113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102</w:t>
            </w:r>
          </w:p>
        </w:tc>
        <w:tc>
          <w:tcPr>
            <w:tcW w:w="1129"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Cs/>
                <w:sz w:val="20"/>
                <w:szCs w:val="20"/>
                <w:lang w:eastAsia="pl-PL"/>
              </w:rPr>
            </w:pPr>
            <w:r>
              <w:rPr>
                <w:rFonts w:asciiTheme="majorHAnsi" w:hAnsiTheme="majorHAnsi" w:cstheme="majorHAnsi"/>
                <w:iCs/>
                <w:sz w:val="20"/>
                <w:szCs w:val="20"/>
              </w:rPr>
              <w:t>0,0%</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3" w:type="dxa"/>
            <w:tcBorders>
              <w:top w:val="nil"/>
              <w:left w:val="single" w:sz="4" w:space="0" w:color="5B9BD5"/>
              <w:bottom w:val="nil"/>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Milejów</w:t>
            </w:r>
          </w:p>
        </w:tc>
        <w:tc>
          <w:tcPr>
            <w:tcW w:w="113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104</w:t>
            </w:r>
          </w:p>
        </w:tc>
        <w:tc>
          <w:tcPr>
            <w:tcW w:w="1130"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105</w:t>
            </w:r>
          </w:p>
        </w:tc>
        <w:tc>
          <w:tcPr>
            <w:tcW w:w="113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103</w:t>
            </w:r>
          </w:p>
        </w:tc>
        <w:tc>
          <w:tcPr>
            <w:tcW w:w="1130"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104</w:t>
            </w:r>
          </w:p>
        </w:tc>
        <w:tc>
          <w:tcPr>
            <w:tcW w:w="1130"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105</w:t>
            </w:r>
          </w:p>
        </w:tc>
        <w:tc>
          <w:tcPr>
            <w:tcW w:w="1129"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Cs/>
                <w:sz w:val="20"/>
                <w:szCs w:val="20"/>
                <w:lang w:eastAsia="pl-PL"/>
              </w:rPr>
            </w:pPr>
            <w:r>
              <w:rPr>
                <w:rFonts w:asciiTheme="majorHAnsi" w:hAnsiTheme="majorHAnsi" w:cstheme="majorHAnsi"/>
                <w:iCs/>
                <w:sz w:val="20"/>
                <w:szCs w:val="20"/>
              </w:rPr>
              <w:t>1,0%</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2853"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Puchaczów</w:t>
            </w:r>
          </w:p>
        </w:tc>
        <w:tc>
          <w:tcPr>
            <w:tcW w:w="1133"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105</w:t>
            </w:r>
          </w:p>
        </w:tc>
        <w:tc>
          <w:tcPr>
            <w:tcW w:w="1130"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105</w:t>
            </w:r>
          </w:p>
        </w:tc>
        <w:tc>
          <w:tcPr>
            <w:tcW w:w="113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105</w:t>
            </w:r>
          </w:p>
        </w:tc>
        <w:tc>
          <w:tcPr>
            <w:tcW w:w="1130"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105</w:t>
            </w:r>
          </w:p>
        </w:tc>
        <w:tc>
          <w:tcPr>
            <w:tcW w:w="113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105</w:t>
            </w:r>
          </w:p>
        </w:tc>
        <w:tc>
          <w:tcPr>
            <w:tcW w:w="1129"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Cs/>
                <w:sz w:val="20"/>
                <w:szCs w:val="20"/>
                <w:lang w:eastAsia="pl-PL"/>
              </w:rPr>
            </w:pPr>
            <w:r>
              <w:rPr>
                <w:rFonts w:asciiTheme="majorHAnsi" w:hAnsiTheme="majorHAnsi" w:cstheme="majorHAnsi"/>
                <w:iCs/>
                <w:sz w:val="20"/>
                <w:szCs w:val="20"/>
              </w:rPr>
              <w:t>0,0%</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3" w:type="dxa"/>
            <w:tcBorders>
              <w:top w:val="nil"/>
              <w:left w:val="single" w:sz="4" w:space="0" w:color="5B9BD5"/>
              <w:bottom w:val="nil"/>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Urszulin</w:t>
            </w:r>
          </w:p>
        </w:tc>
        <w:tc>
          <w:tcPr>
            <w:tcW w:w="113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97</w:t>
            </w:r>
          </w:p>
        </w:tc>
        <w:tc>
          <w:tcPr>
            <w:tcW w:w="1130"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98</w:t>
            </w:r>
          </w:p>
        </w:tc>
        <w:tc>
          <w:tcPr>
            <w:tcW w:w="113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97</w:t>
            </w:r>
          </w:p>
        </w:tc>
        <w:tc>
          <w:tcPr>
            <w:tcW w:w="1130"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98</w:t>
            </w:r>
          </w:p>
        </w:tc>
        <w:tc>
          <w:tcPr>
            <w:tcW w:w="1130"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97</w:t>
            </w:r>
          </w:p>
        </w:tc>
        <w:tc>
          <w:tcPr>
            <w:tcW w:w="1129"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Cs/>
                <w:sz w:val="20"/>
                <w:szCs w:val="20"/>
                <w:lang w:eastAsia="pl-PL"/>
              </w:rPr>
            </w:pPr>
            <w:r>
              <w:rPr>
                <w:rFonts w:asciiTheme="majorHAnsi" w:hAnsiTheme="majorHAnsi" w:cstheme="majorHAnsi"/>
                <w:iCs/>
                <w:sz w:val="20"/>
                <w:szCs w:val="20"/>
              </w:rPr>
              <w:t>0,0%</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2853" w:type="dxa"/>
            <w:tcBorders>
              <w:top w:val="single" w:sz="4" w:space="0" w:color="5B9BD5"/>
              <w:left w:val="single" w:sz="4" w:space="0" w:color="5B9BD5"/>
              <w:bottom w:val="single" w:sz="4" w:space="0" w:color="5B9BD5"/>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ŚREDNIA</w:t>
            </w:r>
          </w:p>
        </w:tc>
        <w:tc>
          <w:tcPr>
            <w:tcW w:w="1133" w:type="dxa"/>
            <w:tcBorders>
              <w:top w:val="single" w:sz="4" w:space="0" w:color="5B9BD5"/>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hAnsiTheme="majorHAnsi" w:cstheme="majorHAnsi"/>
                <w:b/>
                <w:bCs/>
                <w:sz w:val="20"/>
                <w:szCs w:val="20"/>
              </w:rPr>
              <w:t>102</w:t>
            </w:r>
          </w:p>
        </w:tc>
        <w:tc>
          <w:tcPr>
            <w:tcW w:w="1130" w:type="dxa"/>
            <w:tcBorders>
              <w:top w:val="single" w:sz="4" w:space="0" w:color="5B9BD5"/>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hAnsiTheme="majorHAnsi" w:cstheme="majorHAnsi"/>
                <w:b/>
                <w:bCs/>
                <w:sz w:val="20"/>
                <w:szCs w:val="20"/>
              </w:rPr>
              <w:t>103</w:t>
            </w:r>
          </w:p>
        </w:tc>
        <w:tc>
          <w:tcPr>
            <w:tcW w:w="1132" w:type="dxa"/>
            <w:tcBorders>
              <w:top w:val="single" w:sz="4" w:space="0" w:color="5B9BD5"/>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hAnsiTheme="majorHAnsi" w:cstheme="majorHAnsi"/>
                <w:b/>
                <w:bCs/>
                <w:sz w:val="20"/>
                <w:szCs w:val="20"/>
              </w:rPr>
              <w:t>102</w:t>
            </w:r>
          </w:p>
        </w:tc>
        <w:tc>
          <w:tcPr>
            <w:tcW w:w="1130" w:type="dxa"/>
            <w:tcBorders>
              <w:top w:val="single" w:sz="4" w:space="0" w:color="5B9BD5"/>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hAnsiTheme="majorHAnsi" w:cstheme="majorHAnsi"/>
                <w:b/>
                <w:bCs/>
                <w:sz w:val="20"/>
                <w:szCs w:val="20"/>
              </w:rPr>
              <w:t>103</w:t>
            </w:r>
          </w:p>
        </w:tc>
        <w:tc>
          <w:tcPr>
            <w:tcW w:w="1130" w:type="dxa"/>
            <w:tcBorders>
              <w:top w:val="single" w:sz="4" w:space="0" w:color="5B9BD5"/>
              <w:bottom w:val="single" w:sz="4" w:space="0" w:color="5B9BD5"/>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hAnsiTheme="majorHAnsi" w:cstheme="majorHAnsi"/>
                <w:b/>
                <w:bCs/>
                <w:sz w:val="20"/>
                <w:szCs w:val="20"/>
              </w:rPr>
              <w:t>103</w:t>
            </w:r>
          </w:p>
        </w:tc>
        <w:tc>
          <w:tcPr>
            <w:tcW w:w="1129" w:type="dxa"/>
            <w:tcBorders>
              <w:top w:val="single" w:sz="4" w:space="0" w:color="5B9BD5"/>
              <w:left w:val="single" w:sz="4" w:space="0" w:color="5B9BD5"/>
              <w:bottom w:val="single" w:sz="4" w:space="0" w:color="5B9BD5"/>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Cs/>
                <w:sz w:val="20"/>
                <w:szCs w:val="20"/>
                <w:lang w:eastAsia="pl-PL"/>
              </w:rPr>
            </w:pPr>
            <w:r>
              <w:rPr>
                <w:rFonts w:asciiTheme="majorHAnsi" w:hAnsiTheme="majorHAnsi" w:cstheme="majorHAnsi"/>
                <w:b/>
                <w:bCs/>
                <w:iCs/>
                <w:sz w:val="20"/>
                <w:szCs w:val="20"/>
              </w:rPr>
              <w:t>0,2%</w:t>
            </w:r>
          </w:p>
        </w:tc>
      </w:tr>
    </w:tbl>
    <w:p w:rsidR="00DC75FA" w:rsidRDefault="00887D84">
      <w:pPr>
        <w:pStyle w:val="rdo"/>
        <w:spacing w:line="276" w:lineRule="auto"/>
        <w:jc w:val="both"/>
        <w:rPr>
          <w:rFonts w:ascii="Times New Roman" w:hAnsi="Times New Roman" w:cs="Times New Roman"/>
          <w:sz w:val="24"/>
        </w:rPr>
      </w:pPr>
      <w:r>
        <w:rPr>
          <w:rFonts w:ascii="Times New Roman" w:hAnsi="Times New Roman" w:cs="Times New Roman"/>
        </w:rP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lastRenderedPageBreak/>
        <w:t>Średnia gęstość zaludnienia na terenie OF w latach 2015-2019 początkowo wzrastała i w 2018 r. wyniosła 52,8 osoby na 1 km</w:t>
      </w:r>
      <w:r>
        <w:rPr>
          <w:rFonts w:ascii="Times New Roman" w:hAnsi="Times New Roman" w:cs="Times New Roman"/>
          <w:vertAlign w:val="superscript"/>
        </w:rPr>
        <w:t>2</w:t>
      </w:r>
      <w:r>
        <w:rPr>
          <w:rFonts w:ascii="Times New Roman" w:hAnsi="Times New Roman" w:cs="Times New Roman"/>
        </w:rPr>
        <w:t>, po czym w kolejnym roku zmniejszyła się i wyniosła 52,6 osoby na 1 km</w:t>
      </w:r>
      <w:r>
        <w:rPr>
          <w:rFonts w:ascii="Times New Roman" w:hAnsi="Times New Roman" w:cs="Times New Roman"/>
          <w:vertAlign w:val="superscript"/>
        </w:rPr>
        <w:t>2</w:t>
      </w:r>
      <w:r>
        <w:rPr>
          <w:rFonts w:ascii="Times New Roman" w:hAnsi="Times New Roman" w:cs="Times New Roman"/>
        </w:rPr>
        <w:t xml:space="preserve">. </w:t>
      </w:r>
    </w:p>
    <w:p w:rsidR="00DC75FA" w:rsidRDefault="00887D84">
      <w:pPr>
        <w:pStyle w:val="aaapodpis"/>
        <w:spacing w:line="276" w:lineRule="auto"/>
        <w:rPr>
          <w:vertAlign w:val="superscript"/>
        </w:rPr>
      </w:pPr>
      <w:bookmarkStart w:id="69" w:name="_Toc75899470"/>
      <w:r>
        <w:t>Wykres 5: Średnia gęstość zaludnienia na terenie OF – ludność na 1 km</w:t>
      </w:r>
      <w:r>
        <w:rPr>
          <w:vertAlign w:val="superscript"/>
        </w:rPr>
        <w:t>2</w:t>
      </w:r>
      <w:bookmarkEnd w:id="69"/>
    </w:p>
    <w:p w:rsidR="00DC75FA" w:rsidRDefault="00887D84">
      <w:pPr>
        <w:pStyle w:val="aaardo"/>
      </w:pPr>
      <w:r>
        <w:rPr>
          <w:noProof/>
          <w:lang w:eastAsia="pl-PL"/>
        </w:rPr>
        <w:drawing>
          <wp:inline distT="0" distB="0" distL="0" distR="0">
            <wp:extent cx="6120130" cy="1866900"/>
            <wp:effectExtent l="0" t="0" r="0" b="0"/>
            <wp:docPr id="55" name="Wykres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bookmarkStart w:id="70" w:name="_Hlk50805997"/>
      <w:r>
        <w:rPr>
          <w:rFonts w:ascii="Times New Roman" w:hAnsi="Times New Roman" w:cs="Times New Roman"/>
        </w:rPr>
        <w:t>Najwyższą gęstością zaludnienia na obszarze OF w całym analizowanym okresie cechowała się Gmina Milejów. Najniższa gęstość zaludnienia występuje w Gminie Urszulin. Wynosi ona 24 osoby na 1 km</w:t>
      </w:r>
      <w:r>
        <w:rPr>
          <w:rFonts w:ascii="Times New Roman" w:hAnsi="Times New Roman" w:cs="Times New Roman"/>
          <w:vertAlign w:val="superscript"/>
        </w:rPr>
        <w:t>2</w:t>
      </w:r>
      <w:r>
        <w:rPr>
          <w:rFonts w:ascii="Times New Roman" w:hAnsi="Times New Roman" w:cs="Times New Roman"/>
        </w:rPr>
        <w:t xml:space="preserve"> </w:t>
      </w:r>
      <w:bookmarkEnd w:id="70"/>
      <w:r>
        <w:rPr>
          <w:rFonts w:ascii="Times New Roman" w:hAnsi="Times New Roman" w:cs="Times New Roman"/>
        </w:rPr>
        <w:t>i jest wartością stałą od 2015 r. W największym stopniu gęstość zaludnienia na przestrzeni lat 2015–2019 zwiększyła się w Gminie Puchaczów (wzrost o 3,3%). Największy spadek (o -1,9%) odnotowano w Gminie Cyców.</w:t>
      </w:r>
    </w:p>
    <w:p w:rsidR="00DC75FA" w:rsidRDefault="00887D84">
      <w:pPr>
        <w:pStyle w:val="aaapodpis"/>
        <w:spacing w:line="276" w:lineRule="auto"/>
      </w:pPr>
      <w:bookmarkStart w:id="71" w:name="_Toc75899283"/>
      <w:r>
        <w:t>Tabela 5: Ludność na 1 km</w:t>
      </w:r>
      <w:r>
        <w:rPr>
          <w:vertAlign w:val="superscript"/>
        </w:rPr>
        <w:t xml:space="preserve">2 </w:t>
      </w:r>
      <w:r>
        <w:t>w poszczególnych JST OF w latach 2015–2019</w:t>
      </w:r>
      <w:bookmarkEnd w:id="71"/>
    </w:p>
    <w:tbl>
      <w:tblPr>
        <w:tblStyle w:val="Jasnecieniowanieakcent11"/>
        <w:tblW w:w="5000" w:type="pct"/>
        <w:tblLook w:val="04A0" w:firstRow="1" w:lastRow="0" w:firstColumn="1" w:lastColumn="0" w:noHBand="0" w:noVBand="1"/>
      </w:tblPr>
      <w:tblGrid>
        <w:gridCol w:w="2916"/>
        <w:gridCol w:w="1160"/>
        <w:gridCol w:w="1155"/>
        <w:gridCol w:w="1157"/>
        <w:gridCol w:w="1156"/>
        <w:gridCol w:w="1156"/>
        <w:gridCol w:w="1154"/>
      </w:tblGrid>
      <w:tr w:rsidR="00DC75FA" w:rsidTr="00DC75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single" w:sz="4" w:space="0" w:color="5B9BD5"/>
              <w:lef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20"/>
                <w:szCs w:val="20"/>
                <w:lang w:eastAsia="pl-PL"/>
              </w:rPr>
            </w:pPr>
          </w:p>
        </w:tc>
        <w:tc>
          <w:tcPr>
            <w:tcW w:w="1133"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2015</w:t>
            </w:r>
          </w:p>
        </w:tc>
        <w:tc>
          <w:tcPr>
            <w:tcW w:w="1130"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2016</w:t>
            </w:r>
          </w:p>
        </w:tc>
        <w:tc>
          <w:tcPr>
            <w:tcW w:w="1132"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2017</w:t>
            </w:r>
          </w:p>
        </w:tc>
        <w:tc>
          <w:tcPr>
            <w:tcW w:w="1131"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2018</w:t>
            </w:r>
          </w:p>
        </w:tc>
        <w:tc>
          <w:tcPr>
            <w:tcW w:w="1131" w:type="dxa"/>
            <w:tcBorders>
              <w:top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2019</w:t>
            </w:r>
          </w:p>
        </w:tc>
        <w:tc>
          <w:tcPr>
            <w:tcW w:w="1129" w:type="dxa"/>
            <w:tcBorders>
              <w:top w:val="single" w:sz="4" w:space="0" w:color="5B9BD5"/>
              <w:left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eastAsia="Times New Roman" w:hAnsiTheme="majorHAnsi" w:cstheme="majorHAnsi"/>
                <w:i/>
                <w:sz w:val="20"/>
                <w:szCs w:val="20"/>
                <w:lang w:eastAsia="pl-PL"/>
              </w:rPr>
              <w:t>Zmiana</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single" w:sz="4" w:space="0" w:color="5B9BD5"/>
              <w:bottom w:val="nil"/>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Cyców</w:t>
            </w:r>
          </w:p>
        </w:tc>
        <w:tc>
          <w:tcPr>
            <w:tcW w:w="113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54</w:t>
            </w:r>
          </w:p>
        </w:tc>
        <w:tc>
          <w:tcPr>
            <w:tcW w:w="1130"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54</w:t>
            </w:r>
          </w:p>
        </w:tc>
        <w:tc>
          <w:tcPr>
            <w:tcW w:w="113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53</w:t>
            </w:r>
          </w:p>
        </w:tc>
        <w:tc>
          <w:tcPr>
            <w:tcW w:w="1131"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54</w:t>
            </w:r>
          </w:p>
        </w:tc>
        <w:tc>
          <w:tcPr>
            <w:tcW w:w="1131"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53</w:t>
            </w:r>
          </w:p>
        </w:tc>
        <w:tc>
          <w:tcPr>
            <w:tcW w:w="1129"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hAnsiTheme="majorHAnsi" w:cstheme="majorHAnsi"/>
                <w:sz w:val="20"/>
                <w:szCs w:val="20"/>
              </w:rPr>
              <w:t>-1,9%</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Ludwin</w:t>
            </w:r>
          </w:p>
        </w:tc>
        <w:tc>
          <w:tcPr>
            <w:tcW w:w="1133"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45</w:t>
            </w:r>
          </w:p>
        </w:tc>
        <w:tc>
          <w:tcPr>
            <w:tcW w:w="1130"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45</w:t>
            </w:r>
          </w:p>
        </w:tc>
        <w:tc>
          <w:tcPr>
            <w:tcW w:w="113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46</w:t>
            </w:r>
          </w:p>
        </w:tc>
        <w:tc>
          <w:tcPr>
            <w:tcW w:w="1131"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46</w:t>
            </w:r>
          </w:p>
        </w:tc>
        <w:tc>
          <w:tcPr>
            <w:tcW w:w="1131"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46</w:t>
            </w:r>
          </w:p>
        </w:tc>
        <w:tc>
          <w:tcPr>
            <w:tcW w:w="1129"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hAnsiTheme="majorHAnsi" w:cstheme="majorHAnsi"/>
                <w:sz w:val="20"/>
                <w:szCs w:val="20"/>
              </w:rPr>
              <w:t>2,2%</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single" w:sz="4" w:space="0" w:color="5B9BD5"/>
              <w:bottom w:val="nil"/>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Milejów</w:t>
            </w:r>
          </w:p>
        </w:tc>
        <w:tc>
          <w:tcPr>
            <w:tcW w:w="113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79</w:t>
            </w:r>
          </w:p>
        </w:tc>
        <w:tc>
          <w:tcPr>
            <w:tcW w:w="1130"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79</w:t>
            </w:r>
          </w:p>
        </w:tc>
        <w:tc>
          <w:tcPr>
            <w:tcW w:w="113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79</w:t>
            </w:r>
          </w:p>
        </w:tc>
        <w:tc>
          <w:tcPr>
            <w:tcW w:w="1131"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78</w:t>
            </w:r>
          </w:p>
        </w:tc>
        <w:tc>
          <w:tcPr>
            <w:tcW w:w="1131"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78</w:t>
            </w:r>
          </w:p>
        </w:tc>
        <w:tc>
          <w:tcPr>
            <w:tcW w:w="1129"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hAnsiTheme="majorHAnsi" w:cstheme="majorHAnsi"/>
                <w:sz w:val="20"/>
                <w:szCs w:val="20"/>
              </w:rPr>
              <w:t>-1,3%</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Puchaczów</w:t>
            </w:r>
          </w:p>
        </w:tc>
        <w:tc>
          <w:tcPr>
            <w:tcW w:w="1133"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60</w:t>
            </w:r>
          </w:p>
        </w:tc>
        <w:tc>
          <w:tcPr>
            <w:tcW w:w="1130"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61</w:t>
            </w:r>
          </w:p>
        </w:tc>
        <w:tc>
          <w:tcPr>
            <w:tcW w:w="113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61</w:t>
            </w:r>
          </w:p>
        </w:tc>
        <w:tc>
          <w:tcPr>
            <w:tcW w:w="1131"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62</w:t>
            </w:r>
          </w:p>
        </w:tc>
        <w:tc>
          <w:tcPr>
            <w:tcW w:w="1131"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62</w:t>
            </w:r>
          </w:p>
        </w:tc>
        <w:tc>
          <w:tcPr>
            <w:tcW w:w="1129"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hAnsiTheme="majorHAnsi" w:cstheme="majorHAnsi"/>
                <w:sz w:val="20"/>
                <w:szCs w:val="20"/>
              </w:rPr>
              <w:t>3,3%</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single" w:sz="4" w:space="0" w:color="5B9BD5"/>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Urszulin</w:t>
            </w:r>
          </w:p>
        </w:tc>
        <w:tc>
          <w:tcPr>
            <w:tcW w:w="1133"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24</w:t>
            </w:r>
          </w:p>
        </w:tc>
        <w:tc>
          <w:tcPr>
            <w:tcW w:w="1130"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24</w:t>
            </w:r>
          </w:p>
        </w:tc>
        <w:tc>
          <w:tcPr>
            <w:tcW w:w="1132"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24</w:t>
            </w:r>
          </w:p>
        </w:tc>
        <w:tc>
          <w:tcPr>
            <w:tcW w:w="1131"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24</w:t>
            </w:r>
          </w:p>
        </w:tc>
        <w:tc>
          <w:tcPr>
            <w:tcW w:w="1131" w:type="dxa"/>
            <w:tcBorders>
              <w:top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24</w:t>
            </w:r>
          </w:p>
        </w:tc>
        <w:tc>
          <w:tcPr>
            <w:tcW w:w="1129" w:type="dxa"/>
            <w:tcBorders>
              <w:top w:val="nil"/>
              <w:left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hAnsiTheme="majorHAnsi" w:cstheme="majorHAnsi"/>
                <w:sz w:val="20"/>
                <w:szCs w:val="20"/>
              </w:rPr>
              <w:t>0,0%</w:t>
            </w:r>
          </w:p>
        </w:tc>
      </w:tr>
    </w:tbl>
    <w:p w:rsidR="00DC75FA" w:rsidRDefault="00887D84">
      <w:pPr>
        <w:pStyle w:val="rdo"/>
        <w:spacing w:line="276" w:lineRule="auto"/>
        <w:jc w:val="both"/>
        <w:rPr>
          <w:rFonts w:ascii="Times New Roman" w:hAnsi="Times New Roman" w:cs="Times New Roman"/>
          <w:sz w:val="24"/>
        </w:rPr>
      </w:pPr>
      <w:r>
        <w:rPr>
          <w:rFonts w:ascii="Times New Roman" w:hAnsi="Times New Roman" w:cs="Times New Roman"/>
        </w:rPr>
        <w:t>Źródło: opracowanie własne na podstawie danych GUS – Bank Danych Lokalnych.</w:t>
      </w:r>
    </w:p>
    <w:p w:rsidR="00DC75FA" w:rsidRDefault="00887D84">
      <w:pPr>
        <w:ind w:firstLine="567"/>
        <w:jc w:val="both"/>
        <w:rPr>
          <w:rFonts w:ascii="Times New Roman" w:hAnsi="Times New Roman" w:cs="Times New Roman"/>
          <w:szCs w:val="24"/>
        </w:rPr>
      </w:pPr>
      <w:r>
        <w:rPr>
          <w:rFonts w:ascii="Times New Roman" w:hAnsi="Times New Roman" w:cs="Times New Roman"/>
          <w:szCs w:val="24"/>
        </w:rPr>
        <w:t xml:space="preserve">Zarówno wartość wskaźnika urodzeń żywych, jak i zgonów na 1 000 ludności z obszaru OF w latach 2015–2019 podlegała wahaniom, jednak corocznie przyrost naturalny na 1 000 ludności w analizowanym okresie był dodatni. Największy przyrost naturalny odnotowano w 2016 roku (1,26) a najmniejszy w 2018 r. (wyniósł wówczas 0,1). W 2019 r. na 1000 ludności odnotowano 11,08 urodzeń żywych, 10,12 zgonów, a przyrost naturalny wyniósł 0,95. </w:t>
      </w:r>
    </w:p>
    <w:p w:rsidR="00DC75FA" w:rsidRDefault="00887D84">
      <w:pPr>
        <w:pStyle w:val="aaapodpis"/>
        <w:spacing w:line="276" w:lineRule="auto"/>
      </w:pPr>
      <w:bookmarkStart w:id="72" w:name="_Toc75899471"/>
      <w:r>
        <w:t>Wykres 6: Średni przyrost naturalny oraz urodzenia żywe i zgony na 1 000 ludności na obszarze OF w latach 2015–2019</w:t>
      </w:r>
      <w:bookmarkEnd w:id="72"/>
    </w:p>
    <w:p w:rsidR="00DC75FA" w:rsidRDefault="00887D84">
      <w:pPr>
        <w:pStyle w:val="aaardo"/>
      </w:pPr>
      <w:r>
        <w:rPr>
          <w:noProof/>
          <w:lang w:eastAsia="pl-PL"/>
        </w:rPr>
        <w:drawing>
          <wp:inline distT="0" distB="0" distL="0" distR="0">
            <wp:extent cx="6120130" cy="1711960"/>
            <wp:effectExtent l="0" t="0" r="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highlight w:val="yellow"/>
          <w:lang w:eastAsia="pl-PL"/>
        </w:rPr>
        <w:t xml:space="preserve"> </w:t>
      </w:r>
      <w:r>
        <w:t>Źródło: opracowanie własne na podstawie danych GUS – Bank Danych Lokalnych.</w:t>
      </w:r>
    </w:p>
    <w:p w:rsidR="00DC75FA" w:rsidRDefault="00887D84">
      <w:pPr>
        <w:pStyle w:val="aaapodpis"/>
        <w:spacing w:line="276" w:lineRule="auto"/>
      </w:pPr>
      <w:bookmarkStart w:id="73" w:name="_Toc75899472"/>
      <w:r>
        <w:lastRenderedPageBreak/>
        <w:t>Wykres 7: Przyrost naturalny na 1 000 ludności w poszczególnych JST OF w latach 2015–2019</w:t>
      </w:r>
      <w:bookmarkEnd w:id="73"/>
    </w:p>
    <w:p w:rsidR="00DC75FA" w:rsidRDefault="00887D84">
      <w:pPr>
        <w:pStyle w:val="aaardo"/>
      </w:pPr>
      <w:r>
        <w:rPr>
          <w:noProof/>
          <w:lang w:eastAsia="pl-PL"/>
        </w:rPr>
        <w:drawing>
          <wp:inline distT="0" distB="0" distL="0" distR="0">
            <wp:extent cx="6120130" cy="2371090"/>
            <wp:effectExtent l="0" t="0" r="0" b="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Wskaźnik urodzenia żywe na 1 000 ludności ulegał w Gminie Cyców niewielkim wahaniom, osiągając najniższą wartość w roku 2016 (9,83) a najwyższą w 2019 r. (11,55). Przy wskaźniku zgony na 1000 mieszkańców najniższą wartość odnotowano w 2019 r. i wynosiła ona 8,79, najwyższą zaś w 2017 r. – 10,95. Większe zmiany zachodziły w Gminie Ludwin. Najwyższy wskaźnik żywych urodzeń odnotowano w 2017 r. i wynosił on 15,21, najniższy w 2015 r., który wynosił 10,93. Gmina Ludwin odnotowała najwyższy wskaźnik żywych urodzeń z całego obszaru funkcjonalnego. Najniższy wskaźnik urodzeń żywych odnotowano w Gminie Milejów i wynosił on w 2019 r. 8,92, był jednocześnie jednym z najniższych w ciągu analizowanego okresu. Jednocześnie w Gminie Milejów w 2019 r. zanotowano jeden z najniższych wskaźników zgonów na 1000 mieszkańców, jest jednocześnie jednym z najniższych we wszystkich gminach wchodzących w skład OF. Gmina Puchaczów najwyższy wskaźnik żywych urodzeń odnotowała w 2018 r. – 13,49, w 2019 r. wynosił on 10,74. W Gminie Urszulin w analizowanym okresie wskaźnik urodzeń żywych wzrósł od 9,71 w 2015 r. do 10,11 w roku 2019. Jednocześnie w Gminie Urszulin w 2019 r. odnotowano najwyższy wskaźnik zgonów na 1 000 mieszkańców z wszystkich gmin OF.</w:t>
      </w:r>
    </w:p>
    <w:p w:rsidR="00DC75FA" w:rsidRDefault="00887D84">
      <w:pPr>
        <w:pStyle w:val="aaapodpis"/>
        <w:spacing w:line="276" w:lineRule="auto"/>
      </w:pPr>
      <w:bookmarkStart w:id="74" w:name="_Toc75899473"/>
      <w:r>
        <w:t>Wykres 8: Urodzenia żywe i zgony na 1 000 ludności w poszczególnych JST OF w latach 2015–2019</w:t>
      </w:r>
      <w:bookmarkEnd w:id="74"/>
    </w:p>
    <w:p w:rsidR="00DC75FA" w:rsidRDefault="00887D84">
      <w:pPr>
        <w:pStyle w:val="aaardo"/>
      </w:pPr>
      <w:r>
        <w:rPr>
          <w:noProof/>
          <w:lang w:eastAsia="pl-PL"/>
        </w:rPr>
        <w:drawing>
          <wp:inline distT="0" distB="0" distL="0" distR="0">
            <wp:extent cx="6120130" cy="2047875"/>
            <wp:effectExtent l="0" t="0" r="0" b="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highlight w:val="yellow"/>
        </w:rPr>
        <w:t xml:space="preserve"> </w:t>
      </w: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 xml:space="preserve">W analizowanym okresie liczba zawieranych małżeństw w przeliczeniu na 1 000 ludności ulegała wahaniom. Od 2015 r. do 2017 r. malała, w 2018 r. zaczęła rosnąć i w 2019 r. uzyskała wartość 5,5. Jest to nieznaczny spadek w porównaniu do pierwszego roku analizy, czyli 2015 r. </w:t>
      </w:r>
    </w:p>
    <w:p w:rsidR="00DC75FA" w:rsidRDefault="00887D84">
      <w:pPr>
        <w:pStyle w:val="aaapodpis"/>
        <w:spacing w:line="276" w:lineRule="auto"/>
      </w:pPr>
      <w:bookmarkStart w:id="75" w:name="_Toc75899474"/>
      <w:r>
        <w:lastRenderedPageBreak/>
        <w:t>Wykres 9: Średnia liczba małżeństw na 1 000 ludności na obszarze OF w latach 2015–2019</w:t>
      </w:r>
      <w:bookmarkEnd w:id="75"/>
    </w:p>
    <w:p w:rsidR="00DC75FA" w:rsidRDefault="00887D84">
      <w:pPr>
        <w:pStyle w:val="aaardo"/>
      </w:pPr>
      <w:r>
        <w:rPr>
          <w:noProof/>
          <w:lang w:eastAsia="pl-PL"/>
        </w:rPr>
        <w:drawing>
          <wp:inline distT="0" distB="0" distL="0" distR="0">
            <wp:extent cx="6120130" cy="1662430"/>
            <wp:effectExtent l="0" t="0" r="0" b="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highlight w:val="yellow"/>
          <w:lang w:eastAsia="pl-PL"/>
        </w:rPr>
        <w:t xml:space="preserve"> </w:t>
      </w: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ostatnim analizowanym roku najwięcej małżeństw w przeliczeniu na 1 000 mieszkańców zawarto w Gminie Ludwin – wartość wskaźnika wyniosła 6,6 i była o ponad 37% większa niż w 2015 r. Największy spadek zawieranych małżeństw zanotowano w Gminach Puchaczów oraz Cyców (odpowiednio -24,6% oraz 23,3%). W Gminie Milejów wskaźnik zawieranych małżeństw jest najbardziej stały ze wszystkich gmin OF. Z 4,8 w 2015 r. wzrósł do 5,1 w 2019 r. W analizowanym okresie więcej małżeństw zawierają również mieszkańcy Gminy Urszulin. Wskaźnik wzrósł o 8,6% (5,8 w 2015 r. oraz 6,3 w 2019 r.).</w:t>
      </w:r>
    </w:p>
    <w:p w:rsidR="00DC75FA" w:rsidRDefault="00887D84">
      <w:pPr>
        <w:pStyle w:val="aaapodpis"/>
        <w:spacing w:line="276" w:lineRule="auto"/>
      </w:pPr>
      <w:bookmarkStart w:id="76" w:name="_Toc75899284"/>
      <w:r>
        <w:t>Tabela 6: Małżeństwa na 1 000 ludności w poszczególnych JST OF w latach 2015-2019</w:t>
      </w:r>
      <w:bookmarkEnd w:id="76"/>
    </w:p>
    <w:tbl>
      <w:tblPr>
        <w:tblStyle w:val="Jasnecieniowanieakcent11"/>
        <w:tblW w:w="5000" w:type="pct"/>
        <w:tblLook w:val="04A0" w:firstRow="1" w:lastRow="0" w:firstColumn="1" w:lastColumn="0" w:noHBand="0" w:noVBand="1"/>
      </w:tblPr>
      <w:tblGrid>
        <w:gridCol w:w="2916"/>
        <w:gridCol w:w="1160"/>
        <w:gridCol w:w="1155"/>
        <w:gridCol w:w="1157"/>
        <w:gridCol w:w="1156"/>
        <w:gridCol w:w="1156"/>
        <w:gridCol w:w="1154"/>
      </w:tblGrid>
      <w:tr w:rsidR="00DC75FA" w:rsidTr="00DC75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single" w:sz="4" w:space="0" w:color="5B9BD5"/>
              <w:lef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20"/>
                <w:szCs w:val="20"/>
                <w:lang w:eastAsia="pl-PL"/>
              </w:rPr>
            </w:pPr>
          </w:p>
        </w:tc>
        <w:tc>
          <w:tcPr>
            <w:tcW w:w="1133"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2015</w:t>
            </w:r>
          </w:p>
        </w:tc>
        <w:tc>
          <w:tcPr>
            <w:tcW w:w="1130"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2016</w:t>
            </w:r>
          </w:p>
        </w:tc>
        <w:tc>
          <w:tcPr>
            <w:tcW w:w="1132"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2017</w:t>
            </w:r>
          </w:p>
        </w:tc>
        <w:tc>
          <w:tcPr>
            <w:tcW w:w="1131"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2018</w:t>
            </w:r>
          </w:p>
        </w:tc>
        <w:tc>
          <w:tcPr>
            <w:tcW w:w="1131" w:type="dxa"/>
            <w:tcBorders>
              <w:top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2019</w:t>
            </w:r>
          </w:p>
        </w:tc>
        <w:tc>
          <w:tcPr>
            <w:tcW w:w="1129" w:type="dxa"/>
            <w:tcBorders>
              <w:top w:val="single" w:sz="4" w:space="0" w:color="5B9BD5"/>
              <w:left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eastAsia="Times New Roman" w:hAnsiTheme="majorHAnsi" w:cstheme="majorHAnsi"/>
                <w:i/>
                <w:sz w:val="20"/>
                <w:szCs w:val="20"/>
                <w:lang w:eastAsia="pl-PL"/>
              </w:rPr>
              <w:t>Zmiana</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single" w:sz="4" w:space="0" w:color="5B9BD5"/>
              <w:bottom w:val="nil"/>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Cyców</w:t>
            </w:r>
          </w:p>
        </w:tc>
        <w:tc>
          <w:tcPr>
            <w:tcW w:w="113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6,0</w:t>
            </w:r>
          </w:p>
        </w:tc>
        <w:tc>
          <w:tcPr>
            <w:tcW w:w="1130"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5,4</w:t>
            </w:r>
          </w:p>
        </w:tc>
        <w:tc>
          <w:tcPr>
            <w:tcW w:w="113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5,9</w:t>
            </w:r>
          </w:p>
        </w:tc>
        <w:tc>
          <w:tcPr>
            <w:tcW w:w="1131"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4,3</w:t>
            </w:r>
          </w:p>
        </w:tc>
        <w:tc>
          <w:tcPr>
            <w:tcW w:w="1131"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4,6</w:t>
            </w:r>
          </w:p>
        </w:tc>
        <w:tc>
          <w:tcPr>
            <w:tcW w:w="1129"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hAnsiTheme="majorHAnsi" w:cstheme="majorHAnsi"/>
                <w:i/>
                <w:sz w:val="20"/>
                <w:szCs w:val="20"/>
              </w:rPr>
              <w:t>-23,3%</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Ludwin</w:t>
            </w:r>
          </w:p>
        </w:tc>
        <w:tc>
          <w:tcPr>
            <w:tcW w:w="1133"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4,8</w:t>
            </w:r>
          </w:p>
        </w:tc>
        <w:tc>
          <w:tcPr>
            <w:tcW w:w="1130"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6,2</w:t>
            </w:r>
          </w:p>
        </w:tc>
        <w:tc>
          <w:tcPr>
            <w:tcW w:w="113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3,3</w:t>
            </w:r>
          </w:p>
        </w:tc>
        <w:tc>
          <w:tcPr>
            <w:tcW w:w="1131"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5,9</w:t>
            </w:r>
          </w:p>
        </w:tc>
        <w:tc>
          <w:tcPr>
            <w:tcW w:w="1131"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6,6</w:t>
            </w:r>
          </w:p>
        </w:tc>
        <w:tc>
          <w:tcPr>
            <w:tcW w:w="1129"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hAnsiTheme="majorHAnsi" w:cstheme="majorHAnsi"/>
                <w:i/>
                <w:sz w:val="20"/>
                <w:szCs w:val="20"/>
              </w:rPr>
              <w:t>37,5%</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single" w:sz="4" w:space="0" w:color="5B9BD5"/>
              <w:bottom w:val="nil"/>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Milejów</w:t>
            </w:r>
          </w:p>
        </w:tc>
        <w:tc>
          <w:tcPr>
            <w:tcW w:w="113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4,8</w:t>
            </w:r>
          </w:p>
        </w:tc>
        <w:tc>
          <w:tcPr>
            <w:tcW w:w="1130"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4,7</w:t>
            </w:r>
          </w:p>
        </w:tc>
        <w:tc>
          <w:tcPr>
            <w:tcW w:w="113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4,7</w:t>
            </w:r>
          </w:p>
        </w:tc>
        <w:tc>
          <w:tcPr>
            <w:tcW w:w="1131"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5,7</w:t>
            </w:r>
          </w:p>
        </w:tc>
        <w:tc>
          <w:tcPr>
            <w:tcW w:w="1131"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5,1</w:t>
            </w:r>
          </w:p>
        </w:tc>
        <w:tc>
          <w:tcPr>
            <w:tcW w:w="1129"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hAnsiTheme="majorHAnsi" w:cstheme="majorHAnsi"/>
                <w:i/>
                <w:sz w:val="20"/>
                <w:szCs w:val="20"/>
              </w:rPr>
              <w:t>6,3%</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Puchaczów</w:t>
            </w:r>
          </w:p>
        </w:tc>
        <w:tc>
          <w:tcPr>
            <w:tcW w:w="1133"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6,5</w:t>
            </w:r>
          </w:p>
        </w:tc>
        <w:tc>
          <w:tcPr>
            <w:tcW w:w="1130"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6,0</w:t>
            </w:r>
          </w:p>
        </w:tc>
        <w:tc>
          <w:tcPr>
            <w:tcW w:w="113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4,7</w:t>
            </w:r>
          </w:p>
        </w:tc>
        <w:tc>
          <w:tcPr>
            <w:tcW w:w="1131"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3,9</w:t>
            </w:r>
          </w:p>
        </w:tc>
        <w:tc>
          <w:tcPr>
            <w:tcW w:w="1131"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4,9</w:t>
            </w:r>
          </w:p>
        </w:tc>
        <w:tc>
          <w:tcPr>
            <w:tcW w:w="1129"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hAnsiTheme="majorHAnsi" w:cstheme="majorHAnsi"/>
                <w:i/>
                <w:sz w:val="20"/>
                <w:szCs w:val="20"/>
              </w:rPr>
              <w:t>-24,6%</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1" w:type="dxa"/>
            <w:tcBorders>
              <w:top w:val="nil"/>
              <w:left w:val="single" w:sz="4" w:space="0" w:color="5B9BD5"/>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Urszulin</w:t>
            </w:r>
          </w:p>
        </w:tc>
        <w:tc>
          <w:tcPr>
            <w:tcW w:w="1133"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5,8</w:t>
            </w:r>
          </w:p>
        </w:tc>
        <w:tc>
          <w:tcPr>
            <w:tcW w:w="1130"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3,9</w:t>
            </w:r>
          </w:p>
        </w:tc>
        <w:tc>
          <w:tcPr>
            <w:tcW w:w="1132"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5,8</w:t>
            </w:r>
          </w:p>
        </w:tc>
        <w:tc>
          <w:tcPr>
            <w:tcW w:w="1131" w:type="dxa"/>
            <w:tcBorders>
              <w:top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5,3</w:t>
            </w:r>
          </w:p>
        </w:tc>
        <w:tc>
          <w:tcPr>
            <w:tcW w:w="1131" w:type="dxa"/>
            <w:tcBorders>
              <w:top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6,3</w:t>
            </w:r>
          </w:p>
        </w:tc>
        <w:tc>
          <w:tcPr>
            <w:tcW w:w="1129" w:type="dxa"/>
            <w:tcBorders>
              <w:top w:val="nil"/>
              <w:left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sz w:val="20"/>
                <w:szCs w:val="20"/>
                <w:lang w:eastAsia="pl-PL"/>
              </w:rPr>
            </w:pPr>
            <w:r>
              <w:rPr>
                <w:rFonts w:asciiTheme="majorHAnsi" w:hAnsiTheme="majorHAnsi" w:cstheme="majorHAnsi"/>
                <w:i/>
                <w:sz w:val="20"/>
                <w:szCs w:val="20"/>
              </w:rPr>
              <w:t>8,6%</w:t>
            </w:r>
          </w:p>
        </w:tc>
      </w:tr>
    </w:tbl>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2019 r. osoby w wieku do 44 lat stanowiły ponad 60% społeczeństwa całego OF, podczas gdy w pierwszym roku analizy odsetek ten wynosił mniej niż 60%. Na poniższym wykresie przedstawiono strukturę ludności OF według grup wieku w poszczególnych latach – na przestrzeni pięciu analizowanych lat zmniejszający się odsetek ludności w wieku przedprodukcyjnym i produkcyjnym na rzecz ludności w wieku poprodukcyjnym. Najliczniejszą grupą wiekową w gminach należących do obszaru funkcjonalnego są ludzie w wieku powyżej 70 lat i stanowią oni 10% całej ludności.</w:t>
      </w:r>
    </w:p>
    <w:p w:rsidR="00DC75FA" w:rsidRDefault="00887D84">
      <w:pPr>
        <w:pStyle w:val="aaapodpis"/>
        <w:spacing w:line="276" w:lineRule="auto"/>
      </w:pPr>
      <w:bookmarkStart w:id="77" w:name="_Toc75899475"/>
      <w:r>
        <w:lastRenderedPageBreak/>
        <w:t>Wykres 10: Ludność wg grup wieku na obszarze OF w latach 2015–2019</w:t>
      </w:r>
      <w:bookmarkEnd w:id="77"/>
      <w:r>
        <w:t xml:space="preserve"> </w:t>
      </w:r>
    </w:p>
    <w:p w:rsidR="00DC75FA" w:rsidRDefault="00887D84">
      <w:pPr>
        <w:pStyle w:val="aaardo"/>
      </w:pPr>
      <w:r>
        <w:rPr>
          <w:noProof/>
          <w:lang w:eastAsia="pl-PL"/>
        </w:rPr>
        <w:drawing>
          <wp:inline distT="0" distB="0" distL="0" distR="0">
            <wp:extent cx="6120130" cy="4880610"/>
            <wp:effectExtent l="0" t="0" r="0" b="0"/>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analizowanym okresie w gminach wchodzących w skład obszaru funkcjonalnego można zauważyć zmiany w liczbie mieszkańców w podziale na grupy wiekowe. W Gminie Cyców największy wzrost liczby mieszkańców odnotowano w grupie wiekowej 40-44, a największy spadek wśród grupy wiekowej 20-24. O prawie 26% wzrosła liczba mieszkańców w wieku 65-69 Gminy Ludwin, a o 18% spadła w wieku 20-24. W Gminie Milejów natomiast największy spadek mieszkańców można zauważyć w grupie 55-59 (spadek o 21%), najwyższy wzrost mieszkańców nastąpił w grupie wiekowej 65-69 lat. W Gminie Puchaczów o 27% wzrosła liczba mieszkańców w wieku 40-44, natomiast największy spadek odnotowano w kategorii wiekowej 55-59 (spadek o prawie 12 %). W Gminie Urszulin największy ubytek mieszkańców zanotowano wśród grupy wiekowe 15-19 a największy wzrost (o 15%) w grupie wiekowej 65-69.</w:t>
      </w:r>
    </w:p>
    <w:p w:rsidR="00DC75FA" w:rsidRDefault="00887D84">
      <w:pPr>
        <w:pStyle w:val="aaapodpis"/>
        <w:spacing w:line="276" w:lineRule="auto"/>
      </w:pPr>
      <w:bookmarkStart w:id="78" w:name="_Toc75899285"/>
      <w:r>
        <w:t>Tabela 7: Ludność wg grup wieku w poszczególnych JST OF w latach 2015–2019</w:t>
      </w:r>
      <w:bookmarkEnd w:id="78"/>
    </w:p>
    <w:tbl>
      <w:tblPr>
        <w:tblStyle w:val="Jasnecieniowanieakcent11"/>
        <w:tblW w:w="5000" w:type="pct"/>
        <w:tblLook w:val="04A0" w:firstRow="1" w:lastRow="0" w:firstColumn="1" w:lastColumn="0" w:noHBand="0" w:noVBand="1"/>
      </w:tblPr>
      <w:tblGrid>
        <w:gridCol w:w="1014"/>
        <w:gridCol w:w="1055"/>
        <w:gridCol w:w="1298"/>
        <w:gridCol w:w="1298"/>
        <w:gridCol w:w="1297"/>
        <w:gridCol w:w="1298"/>
        <w:gridCol w:w="1298"/>
        <w:gridCol w:w="1296"/>
      </w:tblGrid>
      <w:tr w:rsidR="00DC75FA" w:rsidTr="00DC75FA">
        <w:trPr>
          <w:cnfStyle w:val="100000000000" w:firstRow="1" w:lastRow="0" w:firstColumn="0" w:lastColumn="0" w:oddVBand="0" w:evenVBand="0" w:oddHBand="0" w:evenHBand="0" w:firstRowFirstColumn="0" w:firstRowLastColumn="0" w:lastRowFirstColumn="0" w:lastRowLastColumn="0"/>
          <w:cantSplit/>
          <w:trHeight w:val="1171"/>
          <w:tblHeader/>
        </w:trPr>
        <w:tc>
          <w:tcPr>
            <w:cnfStyle w:val="001000000000" w:firstRow="0" w:lastRow="0" w:firstColumn="1" w:lastColumn="0" w:oddVBand="0" w:evenVBand="0" w:oddHBand="0" w:evenHBand="0" w:firstRowFirstColumn="0" w:firstRowLastColumn="0" w:lastRowFirstColumn="0" w:lastRowLastColumn="0"/>
            <w:tcW w:w="2025" w:type="dxa"/>
            <w:gridSpan w:val="2"/>
            <w:tcBorders>
              <w:right w:val="single" w:sz="4" w:space="0" w:color="5B9BD5"/>
            </w:tcBorders>
            <w:shd w:val="clear" w:color="auto" w:fill="auto"/>
            <w:textDirection w:val="btLr"/>
            <w:vAlign w:val="center"/>
          </w:tcPr>
          <w:p w:rsidR="00DC75FA" w:rsidRDefault="00DC75FA">
            <w:pPr>
              <w:spacing w:after="0" w:line="240" w:lineRule="auto"/>
              <w:ind w:left="113" w:right="113"/>
              <w:jc w:val="center"/>
              <w:rPr>
                <w:rFonts w:asciiTheme="majorHAnsi" w:eastAsia="Times New Roman" w:hAnsiTheme="majorHAnsi" w:cstheme="majorHAnsi"/>
                <w:sz w:val="18"/>
                <w:szCs w:val="18"/>
                <w:lang w:eastAsia="pl-PL"/>
              </w:rPr>
            </w:pPr>
          </w:p>
        </w:tc>
        <w:tc>
          <w:tcPr>
            <w:tcW w:w="1269" w:type="dxa"/>
            <w:tcBorders>
              <w:top w:val="single" w:sz="4" w:space="0" w:color="5B9BD5"/>
              <w:left w:val="single" w:sz="4" w:space="0" w:color="5B9BD5"/>
            </w:tcBorders>
            <w:shd w:val="clear" w:color="auto" w:fill="auto"/>
            <w:textDirection w:val="btLr"/>
            <w:vAlign w:val="center"/>
          </w:tcPr>
          <w:p w:rsidR="00DC75FA" w:rsidRDefault="00887D8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sz w:val="18"/>
                <w:szCs w:val="18"/>
              </w:rPr>
              <w:t>Cyców</w:t>
            </w:r>
          </w:p>
        </w:tc>
        <w:tc>
          <w:tcPr>
            <w:tcW w:w="1269" w:type="dxa"/>
            <w:tcBorders>
              <w:top w:val="single" w:sz="4" w:space="0" w:color="5B9BD5"/>
            </w:tcBorders>
            <w:shd w:val="clear" w:color="auto" w:fill="auto"/>
            <w:textDirection w:val="btLr"/>
            <w:vAlign w:val="center"/>
          </w:tcPr>
          <w:p w:rsidR="00DC75FA" w:rsidRDefault="00887D8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sz w:val="18"/>
                <w:szCs w:val="18"/>
              </w:rPr>
              <w:t>Ludwin</w:t>
            </w:r>
          </w:p>
        </w:tc>
        <w:tc>
          <w:tcPr>
            <w:tcW w:w="1268" w:type="dxa"/>
            <w:tcBorders>
              <w:top w:val="single" w:sz="4" w:space="0" w:color="5B9BD5"/>
            </w:tcBorders>
            <w:shd w:val="clear" w:color="auto" w:fill="auto"/>
            <w:textDirection w:val="btLr"/>
            <w:vAlign w:val="center"/>
          </w:tcPr>
          <w:p w:rsidR="00DC75FA" w:rsidRDefault="00887D8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sz w:val="18"/>
                <w:szCs w:val="18"/>
              </w:rPr>
              <w:t>Milejów</w:t>
            </w:r>
          </w:p>
        </w:tc>
        <w:tc>
          <w:tcPr>
            <w:tcW w:w="1269" w:type="dxa"/>
            <w:tcBorders>
              <w:top w:val="single" w:sz="4" w:space="0" w:color="5B9BD5"/>
            </w:tcBorders>
            <w:shd w:val="clear" w:color="auto" w:fill="auto"/>
            <w:textDirection w:val="btLr"/>
            <w:vAlign w:val="center"/>
          </w:tcPr>
          <w:p w:rsidR="00DC75FA" w:rsidRDefault="00887D8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sz w:val="18"/>
                <w:szCs w:val="18"/>
              </w:rPr>
              <w:t>Puchaczów</w:t>
            </w:r>
          </w:p>
        </w:tc>
        <w:tc>
          <w:tcPr>
            <w:tcW w:w="1269" w:type="dxa"/>
            <w:tcBorders>
              <w:top w:val="single" w:sz="4" w:space="0" w:color="5B9BD5"/>
            </w:tcBorders>
            <w:shd w:val="clear" w:color="auto" w:fill="auto"/>
            <w:textDirection w:val="btLr"/>
            <w:vAlign w:val="center"/>
          </w:tcPr>
          <w:p w:rsidR="00DC75FA" w:rsidRDefault="00887D8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sz w:val="18"/>
                <w:szCs w:val="18"/>
              </w:rPr>
              <w:t>Urszulin</w:t>
            </w:r>
          </w:p>
        </w:tc>
        <w:tc>
          <w:tcPr>
            <w:tcW w:w="1267" w:type="dxa"/>
            <w:tcBorders>
              <w:top w:val="single" w:sz="4" w:space="0" w:color="5B9BD5"/>
              <w:left w:val="single" w:sz="4" w:space="0" w:color="5B9BD5"/>
              <w:right w:val="single" w:sz="4" w:space="0" w:color="5B9BD5"/>
            </w:tcBorders>
            <w:shd w:val="clear" w:color="auto" w:fill="auto"/>
            <w:textDirection w:val="btLr"/>
            <w:vAlign w:val="center"/>
          </w:tcPr>
          <w:p w:rsidR="00DC75FA" w:rsidRDefault="00887D84">
            <w:pPr>
              <w:spacing w:after="0"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SUMA</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0-4</w:t>
            </w: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480</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301</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439</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285</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230</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1 735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481</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325</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287</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244</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1 750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462</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348</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429</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285</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241</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1 765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461</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338</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425</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310</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243</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1 777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444</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353</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416</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314</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233</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1 760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-7,5%</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17,3%</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-5,2%</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10,2%</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1,3%</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1,4%</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lastRenderedPageBreak/>
              <w:t>5-9</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505</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333</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480</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376</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234</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1 928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326</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239</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1 927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516</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344</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475</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370</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247</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1 952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524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330</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253</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1 922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500</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319</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445</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339</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257</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1 860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-4,2%</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-7,3%</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-9,8%</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9,8%</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10-14</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468</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325</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481</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337</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202</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1 813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472</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332</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202</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1 821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474</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323</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478</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363</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204</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1 842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478</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343</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218</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1 891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492</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344</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487</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382</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222</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1 927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5,1%</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5,8%</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1,2%</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13,4%</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9,9%</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6,3%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15-19</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450</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314</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507</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308</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179</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1 758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304</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492</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157</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1 700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434</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317</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472</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314</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135</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1 672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304</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145</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1 671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397</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313</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452</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319</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140</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1 621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-11,8%</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-0,3%</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-10,8%</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3,6%</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-21,8%</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-7,8%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20-24</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695</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438</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660</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389</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338</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2 520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666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414</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634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377</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340</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2 431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607</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373</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610</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378</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311</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2 279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564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355</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586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345</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305</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2 155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541</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360</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565</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349</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278</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2 093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-22,2%</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-17,8%</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-14,4%</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-10,3%</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-17,8%</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-16,9%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25-29</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651</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440</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642</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399</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335</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2 467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667</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445</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637</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392</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333</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2 474</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697</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470</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643</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395</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343</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2 548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713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469</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633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404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334</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2 553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676</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461</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612</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382</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341</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2 472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3,8%</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4,8%</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-4,7%</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-4,3%</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1,8%</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30-34</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660</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482</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732</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481</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306</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2 661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684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489</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716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315</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2 683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652</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479</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689</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457</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327</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2 604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649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459</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644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467</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299</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2 518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641</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423</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635</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445</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305</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2 449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-2,9%</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-12,2%</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-13,3%</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-7,5%</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-0,3%</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35-39</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597</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415</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723</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490</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279</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2 504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574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420</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722</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283</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2 513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582</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453</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724</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518</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272</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2 549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596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473</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733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518</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320</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2 640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611</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497</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707</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511</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302</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2 628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2,3%</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19,8%</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-2,2%</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4,3%</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8,2%</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40-44</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493</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368</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649</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367</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288</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2 165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534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383</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658</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377</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292</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2 244</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554</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397</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685</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411</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292</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2 339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574</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416</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705</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431</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273</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2 399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600</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433</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727</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466</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284</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2 510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21,7%</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17,7%</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12,0%</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27,0%</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-1,4%</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15,9%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45-49</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473</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334</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562</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346</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246</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1 961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451</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353</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561</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342</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255</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1 962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442</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346</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564</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336</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260</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1 948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357</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579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338</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277</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2 010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459</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365</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615</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343</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278</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2 060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-3,0%</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9,3%</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9,4%</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-0,9%</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13,0%</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50-54</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469</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333</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557</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312</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276</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1 947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465</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324</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538</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252</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1 898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450</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338</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544</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330</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259</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1 921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417</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333</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536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341</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243</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1 870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451</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321</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535</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343</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249</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1 899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-3,8%</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-3,6%</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-3,9%</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9,9%</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-9,8%</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55-59</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511</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325</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660</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378</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285</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2 159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521</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326</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651</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295</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2 169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515</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318</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602</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366</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292</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2 093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520</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308</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348</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303</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2 025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469</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320</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523</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334</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291</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1 937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-8,2%</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-1,5%</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-20,8%</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-11,6%</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2,1%</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60-64</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408</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317</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637</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301</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230</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1 893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405</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324</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645</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317</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247</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1 938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428</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314</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650</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329</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264</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1 985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447</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314</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673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260</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2 040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472</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318</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654</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360</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258</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2 062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15,7%</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0,3%</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2,7%</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19,6%</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12,2%</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65-69</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347</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225</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509</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246</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186</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1 513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379</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230</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553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258</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192</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1 612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383</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253</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545</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258</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195</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1 634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401</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270</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560</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261</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220</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1 712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393</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283</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581</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265</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214</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1 736</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13,3%</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25,8%</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14,1%</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7,7%</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15,1%</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14,7%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70 i więcej</w:t>
            </w:r>
          </w:p>
        </w:tc>
        <w:tc>
          <w:tcPr>
            <w:tcW w:w="103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269"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724</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493</w:t>
            </w:r>
          </w:p>
        </w:tc>
        <w:tc>
          <w:tcPr>
            <w:tcW w:w="1268"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1 025</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498</w:t>
            </w:r>
          </w:p>
        </w:tc>
        <w:tc>
          <w:tcPr>
            <w:tcW w:w="1269"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505</w:t>
            </w:r>
          </w:p>
        </w:tc>
        <w:tc>
          <w:tcPr>
            <w:tcW w:w="126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3 245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720</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506</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1 020</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495</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3 237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269"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715</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511</w:t>
            </w:r>
          </w:p>
        </w:tc>
        <w:tc>
          <w:tcPr>
            <w:tcW w:w="1268"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1 080</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506</w:t>
            </w:r>
          </w:p>
        </w:tc>
        <w:tc>
          <w:tcPr>
            <w:tcW w:w="126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493</w:t>
            </w:r>
          </w:p>
        </w:tc>
        <w:tc>
          <w:tcPr>
            <w:tcW w:w="126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3 305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269"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728</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526</w:t>
            </w:r>
          </w:p>
        </w:tc>
        <w:tc>
          <w:tcPr>
            <w:tcW w:w="12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1 086</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523</w:t>
            </w:r>
          </w:p>
        </w:tc>
        <w:tc>
          <w:tcPr>
            <w:tcW w:w="126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486</w:t>
            </w:r>
          </w:p>
        </w:tc>
        <w:tc>
          <w:tcPr>
            <w:tcW w:w="126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3 349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269"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766</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531</w:t>
            </w:r>
          </w:p>
        </w:tc>
        <w:tc>
          <w:tcPr>
            <w:tcW w:w="1268"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1 131</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541</w:t>
            </w:r>
          </w:p>
        </w:tc>
        <w:tc>
          <w:tcPr>
            <w:tcW w:w="126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494</w:t>
            </w:r>
          </w:p>
        </w:tc>
        <w:tc>
          <w:tcPr>
            <w:tcW w:w="1267"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3 463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93"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03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r>
              <w:rPr>
                <w:rFonts w:asciiTheme="majorHAnsi" w:eastAsia="Times New Roman" w:hAnsiTheme="majorHAnsi" w:cstheme="majorHAnsi"/>
                <w:b/>
                <w:bCs/>
                <w:i/>
                <w:iCs/>
                <w:sz w:val="18"/>
                <w:szCs w:val="18"/>
                <w:lang w:eastAsia="pl-PL"/>
              </w:rPr>
              <w:t>zmiana</w:t>
            </w:r>
          </w:p>
        </w:tc>
        <w:tc>
          <w:tcPr>
            <w:tcW w:w="1269"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5,8%</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7,7%</w:t>
            </w:r>
          </w:p>
        </w:tc>
        <w:tc>
          <w:tcPr>
            <w:tcW w:w="12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10,3%</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8,6%</w:t>
            </w:r>
          </w:p>
        </w:tc>
        <w:tc>
          <w:tcPr>
            <w:tcW w:w="1269"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-2,2%</w:t>
            </w:r>
          </w:p>
        </w:tc>
        <w:tc>
          <w:tcPr>
            <w:tcW w:w="1267"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6,7%</w:t>
            </w:r>
          </w:p>
        </w:tc>
      </w:tr>
    </w:tbl>
    <w:p w:rsidR="00DC75FA" w:rsidRDefault="00887D84">
      <w:pPr>
        <w:pStyle w:val="rdo"/>
        <w:spacing w:line="276" w:lineRule="auto"/>
        <w:jc w:val="both"/>
        <w:rPr>
          <w:rFonts w:ascii="Times New Roman" w:hAnsi="Times New Roman" w:cs="Times New Roman"/>
          <w:sz w:val="24"/>
        </w:rPr>
      </w:pPr>
      <w:r>
        <w:rPr>
          <w:rFonts w:ascii="Times New Roman" w:hAnsi="Times New Roman" w:cs="Times New Roman"/>
        </w:rPr>
        <w:t>Źródło: opracowanie własne na podstawie danych GUS – Bank Danych Lokalnych.</w:t>
      </w:r>
    </w:p>
    <w:p w:rsidR="00DC75FA" w:rsidRDefault="00887D84">
      <w:pPr>
        <w:ind w:firstLine="708"/>
        <w:jc w:val="both"/>
        <w:rPr>
          <w:rFonts w:ascii="Times New Roman" w:hAnsi="Times New Roman" w:cs="Times New Roman"/>
        </w:rPr>
      </w:pPr>
      <w:r>
        <w:rPr>
          <w:rFonts w:ascii="Times New Roman" w:hAnsi="Times New Roman" w:cs="Times New Roman"/>
        </w:rPr>
        <w:t xml:space="preserve">W latach 2015–2019 udział ludności w wieku przedprodukcyjnym nie zmienił się znacznie – w ogólnym rozrachunku zmniejszył się o 0,02 </w:t>
      </w:r>
      <w:proofErr w:type="spellStart"/>
      <w:r>
        <w:rPr>
          <w:rFonts w:ascii="Times New Roman" w:hAnsi="Times New Roman" w:cs="Times New Roman"/>
        </w:rPr>
        <w:t>p.p</w:t>
      </w:r>
      <w:proofErr w:type="spellEnd"/>
      <w:r>
        <w:rPr>
          <w:rFonts w:ascii="Times New Roman" w:hAnsi="Times New Roman" w:cs="Times New Roman"/>
        </w:rPr>
        <w:t xml:space="preserve">. Większa zmiana nastąpiła w udziale ludności w wieku produkcyjnym, który zmniejszył się 1,36 </w:t>
      </w:r>
      <w:proofErr w:type="spellStart"/>
      <w:r>
        <w:rPr>
          <w:rFonts w:ascii="Times New Roman" w:hAnsi="Times New Roman" w:cs="Times New Roman"/>
        </w:rPr>
        <w:t>p.p</w:t>
      </w:r>
      <w:proofErr w:type="spellEnd"/>
      <w:r>
        <w:rPr>
          <w:rFonts w:ascii="Times New Roman" w:hAnsi="Times New Roman" w:cs="Times New Roman"/>
        </w:rPr>
        <w:t xml:space="preserve">. Z kolei udział ludności w wieku poprodukcyjnym zwiększył się o 1,4 </w:t>
      </w:r>
      <w:proofErr w:type="spellStart"/>
      <w:r>
        <w:rPr>
          <w:rFonts w:ascii="Times New Roman" w:hAnsi="Times New Roman" w:cs="Times New Roman"/>
        </w:rPr>
        <w:t>p.p</w:t>
      </w:r>
      <w:proofErr w:type="spellEnd"/>
      <w:r>
        <w:rPr>
          <w:rFonts w:ascii="Times New Roman" w:hAnsi="Times New Roman" w:cs="Times New Roman"/>
        </w:rPr>
        <w:t>. Zwiększający się odsetek ludności w wieku poprodukcyjnym wskazuje na proces starzenia się społeczeństwa.</w:t>
      </w:r>
    </w:p>
    <w:p w:rsidR="00DC75FA" w:rsidRDefault="00887D84">
      <w:pPr>
        <w:pStyle w:val="aaapodpis"/>
        <w:spacing w:line="276" w:lineRule="auto"/>
      </w:pPr>
      <w:bookmarkStart w:id="79" w:name="_Toc75899476"/>
      <w:r>
        <w:lastRenderedPageBreak/>
        <w:t xml:space="preserve">Wykres </w:t>
      </w:r>
      <w:r>
        <w:fldChar w:fldCharType="begin"/>
      </w:r>
      <w:r>
        <w:instrText>SEQ Wykres \* ARABIC</w:instrText>
      </w:r>
      <w:r>
        <w:fldChar w:fldCharType="separate"/>
      </w:r>
      <w:r>
        <w:t>3</w:t>
      </w:r>
      <w:r>
        <w:fldChar w:fldCharType="end"/>
      </w:r>
      <w:r>
        <w:t>: Struktura demograficzna ludności wg ekonomicznych grup wieku na obszarze OF w latach 2015–2019 (w %)</w:t>
      </w:r>
      <w:bookmarkEnd w:id="79"/>
    </w:p>
    <w:p w:rsidR="00DC75FA" w:rsidRDefault="00887D84">
      <w:pPr>
        <w:pStyle w:val="aaardo"/>
        <w:rPr>
          <w:highlight w:val="yellow"/>
        </w:rPr>
      </w:pPr>
      <w:r>
        <w:rPr>
          <w:noProof/>
          <w:lang w:eastAsia="pl-PL"/>
        </w:rPr>
        <w:drawing>
          <wp:inline distT="0" distB="0" distL="0" distR="0">
            <wp:extent cx="6120130" cy="2743200"/>
            <wp:effectExtent l="0" t="0" r="0"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highlight w:val="yellow"/>
        </w:rPr>
        <w:t xml:space="preserve"> </w:t>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Wskaźnik ludności w wieku poprodukcyjnym w całym obszarze funkcjonalnym systematycznie wzrastał, aby w 2019 r. osiągnąć prawie 19% całej ludności. Najwyższy odsetek osób w wieku poprodukcyjnym w 2019 r. odnotowano w Gminie Milejów (niemal 22,7% mieszkańców), a najniższy w Gminie Puchaczów oraz Ludwin (odpowiednio 17,3% oraz 17,4%). Gmina Ludwin była również gminą o najwyższym udziale osób w wieku produkcyjnym w ogóle populacji. Porównywalne wartości odnotowano w Gminach Puchaczów, Cyców oraz Urszulin. Gminy Puchaczów, Cyców oraz Ludwin odnotowały najwyższy wskaźnik ludności w wieku przedprodukcyjnym (odpowiednio 21,6 oraz 21,3). Najmniej ludności w wieku przedprodukcyjnym zamieszkuje Gminę Milejów.</w:t>
      </w:r>
    </w:p>
    <w:p w:rsidR="00DC75FA" w:rsidRDefault="00887D84">
      <w:pPr>
        <w:pStyle w:val="aaapodpis"/>
        <w:spacing w:line="276" w:lineRule="auto"/>
      </w:pPr>
      <w:bookmarkStart w:id="80" w:name="_Toc75899477"/>
      <w:r>
        <w:t>Wykres 12: Struktura demograficzna ludności wg ekonomicznych grup wieku w poszczególnych JST OF w 2019 r. (w %)</w:t>
      </w:r>
      <w:bookmarkEnd w:id="80"/>
    </w:p>
    <w:p w:rsidR="00DC75FA" w:rsidRDefault="00887D84">
      <w:pPr>
        <w:pStyle w:val="aaardo"/>
      </w:pPr>
      <w:r>
        <w:rPr>
          <w:noProof/>
          <w:lang w:eastAsia="pl-PL"/>
        </w:rPr>
        <w:drawing>
          <wp:inline distT="0" distB="0" distL="0" distR="0">
            <wp:extent cx="6120130" cy="2896235"/>
            <wp:effectExtent l="0" t="0" r="0" b="0"/>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highlight w:val="yellow"/>
        </w:rPr>
        <w:t xml:space="preserve"> </w:t>
      </w:r>
      <w:r>
        <w:t>Źródło: opracowanie własne na podstawie danych GUS – Bank Danych Lokalnych.</w:t>
      </w:r>
    </w:p>
    <w:p w:rsidR="00DC75FA" w:rsidRDefault="00887D84">
      <w:pPr>
        <w:pStyle w:val="aaapodpis"/>
        <w:spacing w:line="276" w:lineRule="auto"/>
      </w:pPr>
      <w:bookmarkStart w:id="81" w:name="_Toc75899478"/>
      <w:r>
        <w:lastRenderedPageBreak/>
        <w:t>Wykres 13</w:t>
      </w:r>
      <w:r>
        <w:fldChar w:fldCharType="begin"/>
      </w:r>
      <w:r>
        <w:instrText>SEQ Wykres \* ARABIC</w:instrText>
      </w:r>
      <w:r>
        <w:fldChar w:fldCharType="separate"/>
      </w:r>
      <w:r>
        <w:t>4</w:t>
      </w:r>
      <w:r>
        <w:fldChar w:fldCharType="end"/>
      </w:r>
      <w:r>
        <w:t>: Ludność w wieku poprodukcyjnym (w % ludności ogółem) na obszarze OF w latach 2015–2019</w:t>
      </w:r>
      <w:bookmarkEnd w:id="81"/>
    </w:p>
    <w:p w:rsidR="00DC75FA" w:rsidRDefault="00887D84">
      <w:pPr>
        <w:pStyle w:val="aaardo"/>
        <w:rPr>
          <w:highlight w:val="yellow"/>
        </w:rPr>
      </w:pPr>
      <w:r>
        <w:rPr>
          <w:noProof/>
          <w:lang w:eastAsia="pl-PL"/>
        </w:rPr>
        <w:drawing>
          <wp:inline distT="0" distB="0" distL="0" distR="0">
            <wp:extent cx="6119495" cy="1876425"/>
            <wp:effectExtent l="0" t="0" r="0" b="0"/>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highlight w:val="yellow"/>
        </w:rPr>
        <w:t xml:space="preserve"> </w:t>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analizowanym okresie w każdej z gmin wchodzących w skład obszaru funkcjonalnego można zauważyć wzrost odsetka ludności w wieku poprodukcyjnym. Z wszystkich gmin OF, największym odsetek występuje w Gminie Milejów, jednocześnie to w tej Gminie ten odsetek wzrósł najbardziej w analizowanym okresie (wzrost prawie o 3% w stosunku do 2015 r. Gmina Puchaczów, Ludwin i Cyców posiadają najmniejszy odsetek mieszkańców w wieku poprodukcyjnym i wynosi ok. 17%.</w:t>
      </w:r>
    </w:p>
    <w:p w:rsidR="00DC75FA" w:rsidRDefault="00887D84">
      <w:pPr>
        <w:pStyle w:val="aaapodpis"/>
        <w:spacing w:line="276" w:lineRule="auto"/>
      </w:pPr>
      <w:bookmarkStart w:id="82" w:name="_Toc75899479"/>
      <w:r>
        <w:t>Wykres 14: Ludność w wieku poprodukcyjnym (w % ludności ogółem) w poszczególnych JST OF w latach 2015–2019</w:t>
      </w:r>
      <w:bookmarkEnd w:id="82"/>
    </w:p>
    <w:p w:rsidR="00DC75FA" w:rsidRDefault="00887D84">
      <w:pPr>
        <w:pStyle w:val="aaardo"/>
      </w:pPr>
      <w:r>
        <w:rPr>
          <w:noProof/>
          <w:lang w:eastAsia="pl-PL"/>
        </w:rPr>
        <w:drawing>
          <wp:inline distT="0" distB="0" distL="0" distR="0">
            <wp:extent cx="6120130" cy="2074545"/>
            <wp:effectExtent l="0" t="0" r="0" b="0"/>
            <wp:docPr id="64" name="Wykres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highlight w:val="yellow"/>
        </w:rPr>
        <w:t xml:space="preserve"> </w:t>
      </w: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Od 2015 r. wskaźnik obciążenia demograficznego na obszarze OF systematycznie wzrastał. W 2019 r. na 100 osób w wieku produkcyjnym przypadało średnio 31 osób w wieku poprodukcyjnym. W ujęciu przestrzennym najwyższe wartości wskaźnika występowały w analizowanym okresie w Gminie Milejów oraz Gminie Urszulin, najniższe zaś w Gminie Ludwin oraz Puchaczów. We wszystkich JST na obszarze OF wartość wskaźnika od 2015 r. wzrastała.</w:t>
      </w:r>
    </w:p>
    <w:p w:rsidR="00DC75FA" w:rsidRDefault="00887D84">
      <w:pPr>
        <w:pStyle w:val="aaapodpis"/>
        <w:spacing w:line="276" w:lineRule="auto"/>
      </w:pPr>
      <w:bookmarkStart w:id="83" w:name="_Toc75899480"/>
      <w:r>
        <w:lastRenderedPageBreak/>
        <w:t xml:space="preserve">Wykres </w:t>
      </w:r>
      <w:r>
        <w:fldChar w:fldCharType="begin"/>
      </w:r>
      <w:r>
        <w:instrText>SEQ Wykres \* ARABIC</w:instrText>
      </w:r>
      <w:r>
        <w:fldChar w:fldCharType="separate"/>
      </w:r>
      <w:r>
        <w:t>5</w:t>
      </w:r>
      <w:r>
        <w:fldChar w:fldCharType="end"/>
      </w:r>
      <w:r>
        <w:t>: Wskaźnik obciążenia demograficznego – ludność w wieku poprodukcyjnym na 100 osób w wieku produkcyjnym na terenie OF w latach 2015–2019</w:t>
      </w:r>
      <w:bookmarkEnd w:id="83"/>
    </w:p>
    <w:p w:rsidR="00DC75FA" w:rsidRDefault="00887D84">
      <w:pPr>
        <w:pStyle w:val="aaardo"/>
        <w:rPr>
          <w:lang w:eastAsia="pl-PL"/>
        </w:rPr>
      </w:pPr>
      <w:r>
        <w:rPr>
          <w:noProof/>
          <w:lang w:eastAsia="pl-PL"/>
        </w:rPr>
        <w:drawing>
          <wp:inline distT="0" distB="0" distL="0" distR="0">
            <wp:extent cx="6119495" cy="1676400"/>
            <wp:effectExtent l="0" t="0" r="0" b="0"/>
            <wp:docPr id="65"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lang w:eastAsia="pl-PL"/>
        </w:rPr>
        <w:t xml:space="preserve"> </w:t>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 xml:space="preserve">Analizując wskaźnik obciążenia demograficznego w okresie 2015-2019, widać tendencję wzrostową w każdej z gmin OF. Największy wzrost, o prawie 6% zanotowała Gmina Milejów, która jednocześnie osiągnęła najwyższą wartość z wszystkich gmin OF. W Gminie Cyców nastąpił wzrost o prawie 3 </w:t>
      </w:r>
      <w:proofErr w:type="spellStart"/>
      <w:r>
        <w:rPr>
          <w:rFonts w:ascii="Times New Roman" w:hAnsi="Times New Roman" w:cs="Times New Roman"/>
        </w:rPr>
        <w:t>p.p</w:t>
      </w:r>
      <w:proofErr w:type="spellEnd"/>
      <w:r>
        <w:rPr>
          <w:rFonts w:ascii="Times New Roman" w:hAnsi="Times New Roman" w:cs="Times New Roman"/>
        </w:rPr>
        <w:t>. Najmniejszy wzrost osiągnęły gminy: Puchaczów oraz Urszulin.</w:t>
      </w:r>
    </w:p>
    <w:p w:rsidR="00DC75FA" w:rsidRDefault="00887D84">
      <w:pPr>
        <w:pStyle w:val="aaapodpis"/>
        <w:spacing w:line="276" w:lineRule="auto"/>
      </w:pPr>
      <w:bookmarkStart w:id="84" w:name="_Toc75899481"/>
      <w:r>
        <w:t xml:space="preserve">Wykres </w:t>
      </w:r>
      <w:r>
        <w:fldChar w:fldCharType="begin"/>
      </w:r>
      <w:r>
        <w:instrText>SEQ Wykres \* ARABIC</w:instrText>
      </w:r>
      <w:r>
        <w:fldChar w:fldCharType="separate"/>
      </w:r>
      <w:r>
        <w:t>6</w:t>
      </w:r>
      <w:r>
        <w:fldChar w:fldCharType="end"/>
      </w:r>
      <w:r>
        <w:t>: Wskaźnik obciążenia demograficznego – ludność w wieku poprodukcyjnym na 100 osób w wieku produkcyjnym w poszczególnych JST OF w latach 2015–2019</w:t>
      </w:r>
      <w:bookmarkEnd w:id="84"/>
      <w:r>
        <w:t> </w:t>
      </w:r>
    </w:p>
    <w:p w:rsidR="00DC75FA" w:rsidRDefault="00887D84">
      <w:pPr>
        <w:pStyle w:val="aaardo"/>
      </w:pPr>
      <w:r>
        <w:rPr>
          <w:noProof/>
          <w:lang w:eastAsia="pl-PL"/>
        </w:rPr>
        <w:drawing>
          <wp:inline distT="0" distB="0" distL="0" distR="0">
            <wp:extent cx="6120130" cy="2743200"/>
            <wp:effectExtent l="0" t="0" r="0" b="0"/>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bookmarkStart w:id="85" w:name="_Hlk50808707"/>
      <w:r>
        <w:rPr>
          <w:rFonts w:ascii="Times New Roman" w:hAnsi="Times New Roman" w:cs="Times New Roman"/>
        </w:rPr>
        <w:t xml:space="preserve">Sytuacja demograficzna w gminie kształtowana jest również przez migracje. Saldo migracji to różnica między liczbą zameldowań a </w:t>
      </w:r>
      <w:proofErr w:type="spellStart"/>
      <w:r>
        <w:rPr>
          <w:rFonts w:ascii="Times New Roman" w:hAnsi="Times New Roman" w:cs="Times New Roman"/>
        </w:rPr>
        <w:t>wymeldowań</w:t>
      </w:r>
      <w:proofErr w:type="spellEnd"/>
      <w:r>
        <w:rPr>
          <w:rFonts w:ascii="Times New Roman" w:hAnsi="Times New Roman" w:cs="Times New Roman"/>
        </w:rPr>
        <w:t xml:space="preserve">. W analizowanym okresie na obszarze OF do 2018 r. saldo migracji było dodatnie (w 2018 r. wynosiło 71), ujemne saldo migracji nastąpiło dopiero w 2019 r. różnica ta wyniosła -25 (o 65 osób mniej niż w 2016 r.).  </w:t>
      </w:r>
      <w:bookmarkEnd w:id="85"/>
    </w:p>
    <w:p w:rsidR="00DC75FA" w:rsidRDefault="00887D84">
      <w:pPr>
        <w:pStyle w:val="aaapodpis"/>
        <w:spacing w:line="276" w:lineRule="auto"/>
      </w:pPr>
      <w:bookmarkStart w:id="86" w:name="_Toc75899482"/>
      <w:r>
        <w:lastRenderedPageBreak/>
        <w:t xml:space="preserve">Wykres </w:t>
      </w:r>
      <w:r>
        <w:fldChar w:fldCharType="begin"/>
      </w:r>
      <w:r>
        <w:instrText>SEQ Wykres \* ARABIC</w:instrText>
      </w:r>
      <w:r>
        <w:fldChar w:fldCharType="separate"/>
      </w:r>
      <w:r>
        <w:t>7</w:t>
      </w:r>
      <w:r>
        <w:fldChar w:fldCharType="end"/>
      </w:r>
      <w:r>
        <w:t>: Saldo migracji na obszarze OF w latach 2016–2019</w:t>
      </w:r>
      <w:bookmarkEnd w:id="86"/>
    </w:p>
    <w:p w:rsidR="00DC75FA" w:rsidRDefault="00887D84">
      <w:pPr>
        <w:pStyle w:val="aaardo"/>
      </w:pPr>
      <w:r>
        <w:rPr>
          <w:noProof/>
          <w:lang w:eastAsia="pl-PL"/>
        </w:rPr>
        <w:drawing>
          <wp:inline distT="0" distB="0" distL="0" distR="0">
            <wp:extent cx="6119495" cy="1657350"/>
            <wp:effectExtent l="0" t="0" r="0" b="0"/>
            <wp:docPr id="67" name="Wykres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bookmarkStart w:id="87" w:name="_Hlk50808750"/>
      <w:r>
        <w:rPr>
          <w:rFonts w:ascii="Times New Roman" w:hAnsi="Times New Roman" w:cs="Times New Roman"/>
        </w:rPr>
        <w:t xml:space="preserve">Ujemne wartości salda migracji występowały w Gminie Cyców, Milejów oraz Urszulin. W Gminie Cyców występuje najwyższe ujemne saldo migracji z wszystkich gmin z obszaru funkcjonalnego, które najniższy poziom osiągnęło w 2017 r. (-41). W 2018 r. nastąpiła popraw i saldo migracji wynosiło 20 by w 2019 r. spaść do poziomu -34. W Gminie Milejów poziom migracji wzrósł o 5 w stosunku do 2015 r., ale mimo to pozostając na ujemnej wartości -20. Gmina Urszulin w 2015 r. odnotowała saldo migracji na poziomie 13, w 2019 r. wynik pogorszył się o 23 i osiągnął poziom -10. Jedyne dodatnie wartości odnotowano w Gminie Ludwin (27, spadek o 19 w porównaniu do 2015 r.) oraz Puchaczów (spadek o 8, w 2019 r. saldo wynosiło 12). </w:t>
      </w:r>
      <w:bookmarkEnd w:id="87"/>
    </w:p>
    <w:p w:rsidR="00DC75FA" w:rsidRDefault="00887D84">
      <w:pPr>
        <w:pStyle w:val="aaapodpis"/>
        <w:spacing w:line="276" w:lineRule="auto"/>
      </w:pPr>
      <w:bookmarkStart w:id="88" w:name="_Toc75899483"/>
      <w:r>
        <w:t>Wykres 18: Saldo migracji w poszczególnych JST OF w latach 2016–2019</w:t>
      </w:r>
      <w:bookmarkEnd w:id="88"/>
    </w:p>
    <w:p w:rsidR="00DC75FA" w:rsidRDefault="00887D84">
      <w:pPr>
        <w:pStyle w:val="aaardo"/>
      </w:pPr>
      <w:r>
        <w:rPr>
          <w:noProof/>
          <w:lang w:eastAsia="pl-PL"/>
        </w:rPr>
        <w:drawing>
          <wp:inline distT="0" distB="0" distL="0" distR="0">
            <wp:extent cx="6023610" cy="2743200"/>
            <wp:effectExtent l="0" t="0" r="0" b="0"/>
            <wp:docPr id="68" name="Wykres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t xml:space="preserve"> Źródło: opracowanie własne na podstawie danych GUS – Bank Danych Lokalnych.</w:t>
      </w:r>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89" w:name="_Toc116896671"/>
      <w:r>
        <w:rPr>
          <w:rFonts w:ascii="Times New Roman" w:hAnsi="Times New Roman" w:cs="Times New Roman"/>
          <w:b/>
          <w:color w:val="5B9BD5" w:themeColor="accent1"/>
          <w:sz w:val="24"/>
          <w:szCs w:val="24"/>
        </w:rPr>
        <w:t>Rynek pracy</w:t>
      </w:r>
      <w:bookmarkEnd w:id="89"/>
    </w:p>
    <w:p w:rsidR="00DC75FA" w:rsidRDefault="00887D84">
      <w:pPr>
        <w:spacing w:after="240"/>
        <w:ind w:firstLine="567"/>
        <w:jc w:val="both"/>
        <w:rPr>
          <w:rFonts w:ascii="Times New Roman" w:hAnsi="Times New Roman" w:cs="Times New Roman"/>
        </w:rPr>
      </w:pPr>
      <w:bookmarkStart w:id="90" w:name="_Hlk50808778"/>
      <w:r>
        <w:rPr>
          <w:rFonts w:ascii="Times New Roman" w:hAnsi="Times New Roman" w:cs="Times New Roman"/>
        </w:rPr>
        <w:t>W latach 2015–2019 liczba pracujących ogółem na obszarze OF wahała i w 2019 r. wyniosła ponad 9,4 tys. osób</w:t>
      </w:r>
      <w:bookmarkEnd w:id="90"/>
      <w:r>
        <w:rPr>
          <w:rFonts w:ascii="Times New Roman" w:hAnsi="Times New Roman" w:cs="Times New Roman"/>
        </w:rPr>
        <w:t xml:space="preserve"> – o 0,2 tys. mniej niż w 2015 r. Analiza struktury pracujących według płci jednoznacznie wskazuje na przewagę mężczyzn wśród osób zatrudnionych. W 2019 r. mężczyźni stanowili ponad 77% ogólnej liczby zatrudnionych na terenie OF.</w:t>
      </w:r>
    </w:p>
    <w:p w:rsidR="00DC75FA" w:rsidRDefault="00887D84">
      <w:pPr>
        <w:pStyle w:val="aaapodpis"/>
        <w:spacing w:line="276" w:lineRule="auto"/>
      </w:pPr>
      <w:bookmarkStart w:id="91" w:name="_Toc75899484"/>
      <w:r>
        <w:lastRenderedPageBreak/>
        <w:t>Wykres 19: Struktura pracujących wg płci na obszarze OF w latach 2015-2019</w:t>
      </w:r>
      <w:bookmarkEnd w:id="91"/>
    </w:p>
    <w:p w:rsidR="00DC75FA" w:rsidRDefault="00887D84">
      <w:pPr>
        <w:pStyle w:val="aaardo"/>
      </w:pPr>
      <w:r>
        <w:rPr>
          <w:noProof/>
          <w:lang w:eastAsia="pl-PL"/>
        </w:rPr>
        <w:drawing>
          <wp:inline distT="0" distB="0" distL="0" distR="0">
            <wp:extent cx="6120130" cy="2743200"/>
            <wp:effectExtent l="0" t="0" r="0" b="0"/>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Największą liczbą pracujących ogółem w analizowanym okresie cechowała się Gmina Puchaczów – w 2019 r. było to 7 162 osób. Jest to wartość ponad 8-krotnie większa niż liczba pracujących w Gminie Milejów i ponad 22-krotnie większa niż w Gminie Urszulin. Taka wartość jest wynikiem umiejscowienia w Gminie Puchaczów kopalni węgla Bogdanka – największego zakładu pracy w całym obszarze funkcjonalnym, w którym pracują mieszkańcy innych gmin wchodzących w skład OF. W analizowanym okresie wzrost zatrudnionych można zauważyć w Gminach Milejów, Ludwin oraz Urszulin. W Gminie Cyców nastąpił spadek zatrudnionych o 127 osób a w Gminie Puchaczów o 252 osoby.</w:t>
      </w:r>
    </w:p>
    <w:p w:rsidR="00DC75FA" w:rsidRDefault="00887D84">
      <w:pPr>
        <w:pStyle w:val="aaapodpis"/>
        <w:spacing w:line="276" w:lineRule="auto"/>
      </w:pPr>
      <w:bookmarkStart w:id="92" w:name="_Toc75899485"/>
      <w:r>
        <w:t>Wykres 20: Liczba pracujących ogółem w poszczególnych JST OF w latach 2015–2019</w:t>
      </w:r>
      <w:bookmarkEnd w:id="92"/>
      <w:r>
        <w:t> </w:t>
      </w:r>
    </w:p>
    <w:p w:rsidR="00DC75FA" w:rsidRDefault="00887D84">
      <w:pPr>
        <w:pStyle w:val="aaardo"/>
      </w:pPr>
      <w:r>
        <w:rPr>
          <w:noProof/>
          <w:lang w:eastAsia="pl-PL"/>
        </w:rPr>
        <w:drawing>
          <wp:inline distT="0" distB="0" distL="0" distR="0">
            <wp:extent cx="6120130" cy="2219325"/>
            <wp:effectExtent l="0" t="0" r="0" b="0"/>
            <wp:docPr id="70" name="Wykres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t xml:space="preserve"> 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 xml:space="preserve">W Gminie Puchaczów nastąpił spadek zatrudnionych mężczyzn o 3,8% oraz wzrost zatrudnienia kobiet o 0,5 </w:t>
      </w:r>
      <w:proofErr w:type="spellStart"/>
      <w:r>
        <w:rPr>
          <w:rFonts w:ascii="Times New Roman" w:hAnsi="Times New Roman" w:cs="Times New Roman"/>
        </w:rPr>
        <w:t>p.p</w:t>
      </w:r>
      <w:proofErr w:type="spellEnd"/>
      <w:r>
        <w:rPr>
          <w:rFonts w:ascii="Times New Roman" w:hAnsi="Times New Roman" w:cs="Times New Roman"/>
        </w:rPr>
        <w:t>. W Gminie Milejów nastąpił wzrost zarówno zatrudnionych mężczyzn jak i kobiet (odpowiednio 15,2% oraz 4%). Największy spadek zatrudnionych mężczyzn odnotowano w Gminie Cyców (zmiana o prawie -50%) przy jednoczesnym wzroście zatrudnienia kobiet o prawie 14%. W Gminie Ludwin zanotowano natomiast rekordowy wzrost zatrudnienia mężczyzn o 72,6% oraz kobiet o ponad 9%. W Gminie Ludwin wzrost nastąpił zarówno u mężczyzn jak i kobiet (10% oraz prawie 5%).</w:t>
      </w:r>
    </w:p>
    <w:p w:rsidR="00DC75FA" w:rsidRDefault="00DC75FA">
      <w:pPr>
        <w:ind w:firstLine="567"/>
      </w:pPr>
    </w:p>
    <w:p w:rsidR="00DC75FA" w:rsidRDefault="00887D84">
      <w:pPr>
        <w:pStyle w:val="aaapodpis"/>
      </w:pPr>
      <w:bookmarkStart w:id="93" w:name="OLE_LINK1"/>
      <w:bookmarkStart w:id="94" w:name="_Toc75899486"/>
      <w:bookmarkEnd w:id="93"/>
      <w:r>
        <w:lastRenderedPageBreak/>
        <w:t xml:space="preserve">Wykres </w:t>
      </w:r>
      <w:r>
        <w:fldChar w:fldCharType="begin"/>
      </w:r>
      <w:r>
        <w:instrText>SEQ Wykres \* ARABIC</w:instrText>
      </w:r>
      <w:r>
        <w:fldChar w:fldCharType="separate"/>
      </w:r>
      <w:r>
        <w:t>8</w:t>
      </w:r>
      <w:r>
        <w:fldChar w:fldCharType="end"/>
      </w:r>
      <w:r>
        <w:t>: Struktura pracujących wg płci w poszczególnych JST OF w latach 2015–2019</w:t>
      </w:r>
      <w:bookmarkEnd w:id="94"/>
      <w:r>
        <w:t> </w:t>
      </w:r>
    </w:p>
    <w:tbl>
      <w:tblPr>
        <w:tblStyle w:val="Jasnecieniowanieakcent11"/>
        <w:tblW w:w="5000" w:type="pct"/>
        <w:tblLook w:val="04A0" w:firstRow="1" w:lastRow="0" w:firstColumn="1" w:lastColumn="0" w:noHBand="0" w:noVBand="1"/>
      </w:tblPr>
      <w:tblGrid>
        <w:gridCol w:w="1381"/>
        <w:gridCol w:w="682"/>
        <w:gridCol w:w="683"/>
        <w:gridCol w:w="682"/>
        <w:gridCol w:w="682"/>
        <w:gridCol w:w="682"/>
        <w:gridCol w:w="820"/>
        <w:gridCol w:w="682"/>
        <w:gridCol w:w="683"/>
        <w:gridCol w:w="682"/>
        <w:gridCol w:w="683"/>
        <w:gridCol w:w="682"/>
        <w:gridCol w:w="830"/>
      </w:tblGrid>
      <w:tr w:rsidR="00DC75FA" w:rsidTr="00DC75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50" w:type="dxa"/>
            <w:vMerge w:val="restart"/>
            <w:tcBorders>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20"/>
                <w:szCs w:val="20"/>
                <w:lang w:eastAsia="pl-PL"/>
              </w:rPr>
            </w:pPr>
          </w:p>
        </w:tc>
        <w:tc>
          <w:tcPr>
            <w:tcW w:w="4138" w:type="dxa"/>
            <w:gridSpan w:val="6"/>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MĘŻCZYŹNI</w:t>
            </w:r>
          </w:p>
        </w:tc>
        <w:tc>
          <w:tcPr>
            <w:tcW w:w="4149" w:type="dxa"/>
            <w:gridSpan w:val="6"/>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KOBIETY</w:t>
            </w:r>
          </w:p>
        </w:tc>
      </w:tr>
      <w:tr w:rsidR="00DC75FA" w:rsidTr="00DC75F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50" w:type="dxa"/>
            <w:vMerge/>
            <w:tcBorders>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20"/>
                <w:szCs w:val="20"/>
                <w:lang w:eastAsia="pl-PL"/>
              </w:rPr>
            </w:pPr>
          </w:p>
        </w:tc>
        <w:tc>
          <w:tcPr>
            <w:tcW w:w="667"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pl-PL"/>
              </w:rPr>
            </w:pPr>
            <w:r>
              <w:rPr>
                <w:rFonts w:asciiTheme="majorHAnsi" w:eastAsia="Times New Roman" w:hAnsiTheme="majorHAnsi" w:cstheme="majorHAnsi"/>
                <w:sz w:val="20"/>
                <w:szCs w:val="20"/>
                <w:lang w:eastAsia="pl-PL"/>
              </w:rPr>
              <w:t>2015</w:t>
            </w:r>
          </w:p>
        </w:tc>
        <w:tc>
          <w:tcPr>
            <w:tcW w:w="6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pl-PL"/>
              </w:rPr>
            </w:pPr>
            <w:r>
              <w:rPr>
                <w:rFonts w:asciiTheme="majorHAnsi" w:eastAsia="Times New Roman" w:hAnsiTheme="majorHAnsi" w:cstheme="majorHAnsi"/>
                <w:sz w:val="20"/>
                <w:szCs w:val="20"/>
                <w:lang w:eastAsia="pl-PL"/>
              </w:rPr>
              <w:t>2016</w:t>
            </w:r>
          </w:p>
        </w:tc>
        <w:tc>
          <w:tcPr>
            <w:tcW w:w="667"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pl-PL"/>
              </w:rPr>
            </w:pPr>
            <w:r>
              <w:rPr>
                <w:rFonts w:asciiTheme="majorHAnsi" w:eastAsia="Times New Roman" w:hAnsiTheme="majorHAnsi" w:cstheme="majorHAnsi"/>
                <w:sz w:val="20"/>
                <w:szCs w:val="20"/>
                <w:lang w:eastAsia="pl-PL"/>
              </w:rPr>
              <w:t>2017</w:t>
            </w:r>
          </w:p>
        </w:tc>
        <w:tc>
          <w:tcPr>
            <w:tcW w:w="667"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pl-PL"/>
              </w:rPr>
            </w:pPr>
            <w:r>
              <w:rPr>
                <w:rFonts w:asciiTheme="majorHAnsi" w:eastAsia="Times New Roman" w:hAnsiTheme="majorHAnsi" w:cstheme="majorHAnsi"/>
                <w:sz w:val="20"/>
                <w:szCs w:val="20"/>
                <w:lang w:eastAsia="pl-PL"/>
              </w:rPr>
              <w:t>2018</w:t>
            </w:r>
          </w:p>
        </w:tc>
        <w:tc>
          <w:tcPr>
            <w:tcW w:w="667"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pl-PL"/>
              </w:rPr>
            </w:pPr>
            <w:r>
              <w:rPr>
                <w:rFonts w:asciiTheme="majorHAnsi" w:eastAsia="Times New Roman" w:hAnsiTheme="majorHAnsi" w:cstheme="majorHAnsi"/>
                <w:sz w:val="20"/>
                <w:szCs w:val="20"/>
                <w:lang w:eastAsia="pl-PL"/>
              </w:rPr>
              <w:t>2019</w:t>
            </w:r>
          </w:p>
        </w:tc>
        <w:tc>
          <w:tcPr>
            <w:tcW w:w="802"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i/>
                <w:iCs/>
                <w:sz w:val="20"/>
                <w:szCs w:val="20"/>
                <w:lang w:eastAsia="pl-PL"/>
              </w:rPr>
            </w:pPr>
            <w:r>
              <w:rPr>
                <w:rFonts w:asciiTheme="majorHAnsi" w:eastAsia="Times New Roman" w:hAnsiTheme="majorHAnsi" w:cstheme="majorHAnsi"/>
                <w:i/>
                <w:iCs/>
                <w:sz w:val="20"/>
                <w:szCs w:val="20"/>
                <w:lang w:eastAsia="pl-PL"/>
              </w:rPr>
              <w:t>zmiana</w:t>
            </w:r>
          </w:p>
        </w:tc>
        <w:tc>
          <w:tcPr>
            <w:tcW w:w="667"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pl-PL"/>
              </w:rPr>
            </w:pPr>
            <w:r>
              <w:rPr>
                <w:rFonts w:asciiTheme="majorHAnsi" w:eastAsia="Times New Roman" w:hAnsiTheme="majorHAnsi" w:cstheme="majorHAnsi"/>
                <w:sz w:val="20"/>
                <w:szCs w:val="20"/>
                <w:lang w:eastAsia="pl-PL"/>
              </w:rPr>
              <w:t>2015</w:t>
            </w:r>
          </w:p>
        </w:tc>
        <w:tc>
          <w:tcPr>
            <w:tcW w:w="6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pl-PL"/>
              </w:rPr>
            </w:pPr>
            <w:r>
              <w:rPr>
                <w:rFonts w:asciiTheme="majorHAnsi" w:eastAsia="Times New Roman" w:hAnsiTheme="majorHAnsi" w:cstheme="majorHAnsi"/>
                <w:sz w:val="20"/>
                <w:szCs w:val="20"/>
                <w:lang w:eastAsia="pl-PL"/>
              </w:rPr>
              <w:t>2016</w:t>
            </w:r>
          </w:p>
        </w:tc>
        <w:tc>
          <w:tcPr>
            <w:tcW w:w="667"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pl-PL"/>
              </w:rPr>
            </w:pPr>
            <w:r>
              <w:rPr>
                <w:rFonts w:asciiTheme="majorHAnsi" w:eastAsia="Times New Roman" w:hAnsiTheme="majorHAnsi" w:cstheme="majorHAnsi"/>
                <w:sz w:val="20"/>
                <w:szCs w:val="20"/>
                <w:lang w:eastAsia="pl-PL"/>
              </w:rPr>
              <w:t>2017</w:t>
            </w:r>
          </w:p>
        </w:tc>
        <w:tc>
          <w:tcPr>
            <w:tcW w:w="668"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pl-PL"/>
              </w:rPr>
            </w:pPr>
            <w:r>
              <w:rPr>
                <w:rFonts w:asciiTheme="majorHAnsi" w:eastAsia="Times New Roman" w:hAnsiTheme="majorHAnsi" w:cstheme="majorHAnsi"/>
                <w:sz w:val="20"/>
                <w:szCs w:val="20"/>
                <w:lang w:eastAsia="pl-PL"/>
              </w:rPr>
              <w:t>2018</w:t>
            </w:r>
          </w:p>
        </w:tc>
        <w:tc>
          <w:tcPr>
            <w:tcW w:w="667"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lang w:eastAsia="pl-PL"/>
              </w:rPr>
            </w:pPr>
            <w:r>
              <w:rPr>
                <w:rFonts w:asciiTheme="majorHAnsi" w:eastAsia="Times New Roman" w:hAnsiTheme="majorHAnsi" w:cstheme="majorHAnsi"/>
                <w:sz w:val="20"/>
                <w:szCs w:val="20"/>
                <w:lang w:eastAsia="pl-PL"/>
              </w:rPr>
              <w:t>2019</w:t>
            </w:r>
          </w:p>
        </w:tc>
        <w:tc>
          <w:tcPr>
            <w:tcW w:w="812"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i/>
                <w:iCs/>
                <w:sz w:val="20"/>
                <w:szCs w:val="20"/>
                <w:lang w:eastAsia="pl-PL"/>
              </w:rPr>
            </w:pPr>
            <w:r>
              <w:rPr>
                <w:rFonts w:asciiTheme="majorHAnsi" w:eastAsia="Times New Roman" w:hAnsiTheme="majorHAnsi" w:cstheme="majorHAnsi"/>
                <w:i/>
                <w:iCs/>
                <w:sz w:val="20"/>
                <w:szCs w:val="20"/>
                <w:lang w:eastAsia="pl-PL"/>
              </w:rPr>
              <w:t>zmiana</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5B9BD5"/>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Puchaczów</w:t>
            </w:r>
          </w:p>
        </w:tc>
        <w:tc>
          <w:tcPr>
            <w:tcW w:w="667" w:type="dxa"/>
            <w:tcBorders>
              <w:top w:val="single" w:sz="4" w:space="0" w:color="5B9BD5"/>
              <w:left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6 679</w:t>
            </w:r>
          </w:p>
        </w:tc>
        <w:tc>
          <w:tcPr>
            <w:tcW w:w="668" w:type="dxa"/>
            <w:tcBorders>
              <w:top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6 189</w:t>
            </w:r>
          </w:p>
        </w:tc>
        <w:tc>
          <w:tcPr>
            <w:tcW w:w="667" w:type="dxa"/>
            <w:tcBorders>
              <w:top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6 124</w:t>
            </w:r>
          </w:p>
        </w:tc>
        <w:tc>
          <w:tcPr>
            <w:tcW w:w="667" w:type="dxa"/>
            <w:tcBorders>
              <w:top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6 232</w:t>
            </w:r>
          </w:p>
        </w:tc>
        <w:tc>
          <w:tcPr>
            <w:tcW w:w="667" w:type="dxa"/>
            <w:tcBorders>
              <w:top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6 423</w:t>
            </w:r>
          </w:p>
        </w:tc>
        <w:tc>
          <w:tcPr>
            <w:tcW w:w="802" w:type="dxa"/>
            <w:tcBorders>
              <w:top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-3,8%</w:t>
            </w:r>
          </w:p>
        </w:tc>
        <w:tc>
          <w:tcPr>
            <w:tcW w:w="667" w:type="dxa"/>
            <w:tcBorders>
              <w:top w:val="single" w:sz="4" w:space="0" w:color="5B9BD5"/>
              <w:left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735</w:t>
            </w:r>
          </w:p>
        </w:tc>
        <w:tc>
          <w:tcPr>
            <w:tcW w:w="668" w:type="dxa"/>
            <w:tcBorders>
              <w:top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735</w:t>
            </w:r>
          </w:p>
        </w:tc>
        <w:tc>
          <w:tcPr>
            <w:tcW w:w="667" w:type="dxa"/>
            <w:tcBorders>
              <w:top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770</w:t>
            </w:r>
          </w:p>
        </w:tc>
        <w:tc>
          <w:tcPr>
            <w:tcW w:w="668" w:type="dxa"/>
            <w:tcBorders>
              <w:top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755</w:t>
            </w:r>
          </w:p>
        </w:tc>
        <w:tc>
          <w:tcPr>
            <w:tcW w:w="667" w:type="dxa"/>
            <w:tcBorders>
              <w:top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739</w:t>
            </w:r>
          </w:p>
        </w:tc>
        <w:tc>
          <w:tcPr>
            <w:tcW w:w="812" w:type="dxa"/>
            <w:tcBorders>
              <w:top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0,54%</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Milejów</w:t>
            </w:r>
          </w:p>
        </w:tc>
        <w:tc>
          <w:tcPr>
            <w:tcW w:w="667"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289</w:t>
            </w:r>
          </w:p>
        </w:tc>
        <w:tc>
          <w:tcPr>
            <w:tcW w:w="6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275</w:t>
            </w:r>
          </w:p>
        </w:tc>
        <w:tc>
          <w:tcPr>
            <w:tcW w:w="667"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331</w:t>
            </w:r>
          </w:p>
        </w:tc>
        <w:tc>
          <w:tcPr>
            <w:tcW w:w="667"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300</w:t>
            </w:r>
          </w:p>
        </w:tc>
        <w:tc>
          <w:tcPr>
            <w:tcW w:w="66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333</w:t>
            </w:r>
          </w:p>
        </w:tc>
        <w:tc>
          <w:tcPr>
            <w:tcW w:w="802"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15,2%</w:t>
            </w:r>
          </w:p>
        </w:tc>
        <w:tc>
          <w:tcPr>
            <w:tcW w:w="667"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507</w:t>
            </w:r>
          </w:p>
        </w:tc>
        <w:tc>
          <w:tcPr>
            <w:tcW w:w="6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433</w:t>
            </w:r>
          </w:p>
        </w:tc>
        <w:tc>
          <w:tcPr>
            <w:tcW w:w="667"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521</w:t>
            </w:r>
          </w:p>
        </w:tc>
        <w:tc>
          <w:tcPr>
            <w:tcW w:w="6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517</w:t>
            </w:r>
          </w:p>
        </w:tc>
        <w:tc>
          <w:tcPr>
            <w:tcW w:w="66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527</w:t>
            </w:r>
          </w:p>
        </w:tc>
        <w:tc>
          <w:tcPr>
            <w:tcW w:w="812"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3,94%</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Cyców</w:t>
            </w:r>
          </w:p>
        </w:tc>
        <w:tc>
          <w:tcPr>
            <w:tcW w:w="667"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382</w:t>
            </w:r>
          </w:p>
        </w:tc>
        <w:tc>
          <w:tcPr>
            <w:tcW w:w="668"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309</w:t>
            </w:r>
          </w:p>
        </w:tc>
        <w:tc>
          <w:tcPr>
            <w:tcW w:w="667"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335</w:t>
            </w:r>
          </w:p>
        </w:tc>
        <w:tc>
          <w:tcPr>
            <w:tcW w:w="667"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234</w:t>
            </w:r>
          </w:p>
        </w:tc>
        <w:tc>
          <w:tcPr>
            <w:tcW w:w="66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206</w:t>
            </w:r>
          </w:p>
        </w:tc>
        <w:tc>
          <w:tcPr>
            <w:tcW w:w="802"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-46,1%</w:t>
            </w:r>
          </w:p>
        </w:tc>
        <w:tc>
          <w:tcPr>
            <w:tcW w:w="667"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351</w:t>
            </w:r>
          </w:p>
        </w:tc>
        <w:tc>
          <w:tcPr>
            <w:tcW w:w="668"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382</w:t>
            </w:r>
          </w:p>
        </w:tc>
        <w:tc>
          <w:tcPr>
            <w:tcW w:w="667"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384</w:t>
            </w:r>
          </w:p>
        </w:tc>
        <w:tc>
          <w:tcPr>
            <w:tcW w:w="668"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397</w:t>
            </w:r>
          </w:p>
        </w:tc>
        <w:tc>
          <w:tcPr>
            <w:tcW w:w="66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400</w:t>
            </w:r>
          </w:p>
        </w:tc>
        <w:tc>
          <w:tcPr>
            <w:tcW w:w="812"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13,96%</w:t>
            </w:r>
          </w:p>
        </w:tc>
      </w:tr>
      <w:tr w:rsidR="00DC75FA" w:rsidTr="00DC75F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Ludwin</w:t>
            </w:r>
          </w:p>
        </w:tc>
        <w:tc>
          <w:tcPr>
            <w:tcW w:w="667"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117</w:t>
            </w:r>
          </w:p>
        </w:tc>
        <w:tc>
          <w:tcPr>
            <w:tcW w:w="6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137</w:t>
            </w:r>
          </w:p>
        </w:tc>
        <w:tc>
          <w:tcPr>
            <w:tcW w:w="667"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136</w:t>
            </w:r>
          </w:p>
        </w:tc>
        <w:tc>
          <w:tcPr>
            <w:tcW w:w="667"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156</w:t>
            </w:r>
          </w:p>
        </w:tc>
        <w:tc>
          <w:tcPr>
            <w:tcW w:w="66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202</w:t>
            </w:r>
          </w:p>
        </w:tc>
        <w:tc>
          <w:tcPr>
            <w:tcW w:w="802"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72,6%</w:t>
            </w:r>
          </w:p>
        </w:tc>
        <w:tc>
          <w:tcPr>
            <w:tcW w:w="667"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261</w:t>
            </w:r>
          </w:p>
        </w:tc>
        <w:tc>
          <w:tcPr>
            <w:tcW w:w="6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292</w:t>
            </w:r>
          </w:p>
        </w:tc>
        <w:tc>
          <w:tcPr>
            <w:tcW w:w="667"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276</w:t>
            </w:r>
          </w:p>
        </w:tc>
        <w:tc>
          <w:tcPr>
            <w:tcW w:w="668"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278</w:t>
            </w:r>
          </w:p>
        </w:tc>
        <w:tc>
          <w:tcPr>
            <w:tcW w:w="66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285</w:t>
            </w:r>
          </w:p>
        </w:tc>
        <w:tc>
          <w:tcPr>
            <w:tcW w:w="812"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9,20%</w:t>
            </w:r>
          </w:p>
        </w:tc>
      </w:tr>
      <w:tr w:rsidR="00DC75FA" w:rsidTr="00DC75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Urszulin</w:t>
            </w:r>
          </w:p>
        </w:tc>
        <w:tc>
          <w:tcPr>
            <w:tcW w:w="667"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120</w:t>
            </w:r>
          </w:p>
        </w:tc>
        <w:tc>
          <w:tcPr>
            <w:tcW w:w="668"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122</w:t>
            </w:r>
          </w:p>
        </w:tc>
        <w:tc>
          <w:tcPr>
            <w:tcW w:w="667"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127</w:t>
            </w:r>
          </w:p>
        </w:tc>
        <w:tc>
          <w:tcPr>
            <w:tcW w:w="667"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131</w:t>
            </w:r>
          </w:p>
        </w:tc>
        <w:tc>
          <w:tcPr>
            <w:tcW w:w="66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132</w:t>
            </w:r>
          </w:p>
        </w:tc>
        <w:tc>
          <w:tcPr>
            <w:tcW w:w="802"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10,0%</w:t>
            </w:r>
          </w:p>
        </w:tc>
        <w:tc>
          <w:tcPr>
            <w:tcW w:w="667"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182</w:t>
            </w:r>
          </w:p>
        </w:tc>
        <w:tc>
          <w:tcPr>
            <w:tcW w:w="668"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171</w:t>
            </w:r>
          </w:p>
        </w:tc>
        <w:tc>
          <w:tcPr>
            <w:tcW w:w="667"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202</w:t>
            </w:r>
          </w:p>
        </w:tc>
        <w:tc>
          <w:tcPr>
            <w:tcW w:w="668" w:type="dxa"/>
            <w:tcBorders>
              <w:top w:val="nil"/>
              <w:bottom w:val="nil"/>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194</w:t>
            </w:r>
          </w:p>
        </w:tc>
        <w:tc>
          <w:tcPr>
            <w:tcW w:w="66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191</w:t>
            </w:r>
          </w:p>
        </w:tc>
        <w:tc>
          <w:tcPr>
            <w:tcW w:w="812"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4,95%</w:t>
            </w:r>
          </w:p>
        </w:tc>
      </w:tr>
      <w:tr w:rsidR="00A47575" w:rsidTr="00DC75FA">
        <w:trPr>
          <w:trHeight w:val="300"/>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5B9BD5"/>
              <w:left w:val="single" w:sz="4" w:space="0" w:color="5B9BD5"/>
              <w:bottom w:val="single" w:sz="4" w:space="0" w:color="5B9BD5"/>
              <w:right w:val="single" w:sz="4" w:space="0" w:color="5B9BD5"/>
            </w:tcBorders>
            <w:shd w:val="clear" w:color="auto" w:fill="D6E6F4" w:themeFill="accent1" w:themeFillTint="3F"/>
            <w:vAlign w:val="center"/>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SUMA</w:t>
            </w:r>
          </w:p>
        </w:tc>
        <w:tc>
          <w:tcPr>
            <w:tcW w:w="667" w:type="dxa"/>
            <w:tcBorders>
              <w:top w:val="single" w:sz="4" w:space="0" w:color="5B9BD5"/>
              <w:left w:val="single" w:sz="4" w:space="0" w:color="5B9BD5"/>
              <w:bottom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7 587</w:t>
            </w:r>
          </w:p>
        </w:tc>
        <w:tc>
          <w:tcPr>
            <w:tcW w:w="668" w:type="dxa"/>
            <w:tcBorders>
              <w:top w:val="single" w:sz="4" w:space="0" w:color="5B9BD5"/>
              <w:bottom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7 032</w:t>
            </w:r>
          </w:p>
        </w:tc>
        <w:tc>
          <w:tcPr>
            <w:tcW w:w="667" w:type="dxa"/>
            <w:tcBorders>
              <w:top w:val="single" w:sz="4" w:space="0" w:color="5B9BD5"/>
              <w:bottom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7 053</w:t>
            </w:r>
          </w:p>
        </w:tc>
        <w:tc>
          <w:tcPr>
            <w:tcW w:w="667" w:type="dxa"/>
            <w:tcBorders>
              <w:top w:val="single" w:sz="4" w:space="0" w:color="5B9BD5"/>
              <w:bottom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7 053</w:t>
            </w:r>
          </w:p>
        </w:tc>
        <w:tc>
          <w:tcPr>
            <w:tcW w:w="667" w:type="dxa"/>
            <w:tcBorders>
              <w:top w:val="single" w:sz="4" w:space="0" w:color="5B9BD5"/>
              <w:bottom w:val="single" w:sz="4" w:space="0" w:color="5B9BD5"/>
              <w:right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7 296</w:t>
            </w:r>
          </w:p>
        </w:tc>
        <w:tc>
          <w:tcPr>
            <w:tcW w:w="802" w:type="dxa"/>
            <w:tcBorders>
              <w:top w:val="single" w:sz="4" w:space="0" w:color="5B9BD5"/>
              <w:bottom w:val="single" w:sz="4" w:space="0" w:color="5B9BD5"/>
              <w:right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-3,8%</w:t>
            </w:r>
          </w:p>
        </w:tc>
        <w:tc>
          <w:tcPr>
            <w:tcW w:w="667" w:type="dxa"/>
            <w:tcBorders>
              <w:top w:val="single" w:sz="4" w:space="0" w:color="5B9BD5"/>
              <w:left w:val="single" w:sz="4" w:space="0" w:color="5B9BD5"/>
              <w:bottom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2 036</w:t>
            </w:r>
          </w:p>
        </w:tc>
        <w:tc>
          <w:tcPr>
            <w:tcW w:w="668" w:type="dxa"/>
            <w:tcBorders>
              <w:top w:val="single" w:sz="4" w:space="0" w:color="5B9BD5"/>
              <w:bottom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2 013</w:t>
            </w:r>
          </w:p>
        </w:tc>
        <w:tc>
          <w:tcPr>
            <w:tcW w:w="667" w:type="dxa"/>
            <w:tcBorders>
              <w:top w:val="single" w:sz="4" w:space="0" w:color="5B9BD5"/>
              <w:bottom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2 153</w:t>
            </w:r>
          </w:p>
        </w:tc>
        <w:tc>
          <w:tcPr>
            <w:tcW w:w="668" w:type="dxa"/>
            <w:tcBorders>
              <w:top w:val="single" w:sz="4" w:space="0" w:color="5B9BD5"/>
              <w:bottom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2 141</w:t>
            </w:r>
          </w:p>
        </w:tc>
        <w:tc>
          <w:tcPr>
            <w:tcW w:w="667" w:type="dxa"/>
            <w:tcBorders>
              <w:top w:val="single" w:sz="4" w:space="0" w:color="5B9BD5"/>
              <w:bottom w:val="single" w:sz="4" w:space="0" w:color="5B9BD5"/>
              <w:right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2 142</w:t>
            </w:r>
          </w:p>
        </w:tc>
        <w:tc>
          <w:tcPr>
            <w:tcW w:w="812" w:type="dxa"/>
            <w:tcBorders>
              <w:top w:val="single" w:sz="4" w:space="0" w:color="5B9BD5"/>
              <w:bottom w:val="single" w:sz="4" w:space="0" w:color="5B9BD5"/>
              <w:right w:val="single" w:sz="4" w:space="0" w:color="5B9BD5"/>
            </w:tcBorders>
            <w:shd w:val="clear" w:color="auto" w:fill="D6E6F4" w:themeFill="accent1" w:themeFillTint="3F"/>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5,21%</w:t>
            </w:r>
          </w:p>
        </w:tc>
      </w:tr>
    </w:tbl>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analizowanym okresie liczba zarejestrowanych osób bezrobotnych na obszarze OF uległa obniżeniu – w 2019 r. wyniosła 903 osoby, co w porównaniu z 2015 r., kiedy zarejestrowane były 1 383 osoby, daje spadek o 35%. Pod względem płci w każdym z analizowanych lat wśród zarejestrowanych osób bezrobotnych dominowały kobiety (w 2019 r. stanowiły 58%).</w:t>
      </w:r>
    </w:p>
    <w:p w:rsidR="00DC75FA" w:rsidRDefault="00887D84">
      <w:pPr>
        <w:pStyle w:val="aaapodpis"/>
        <w:spacing w:line="276" w:lineRule="auto"/>
      </w:pPr>
      <w:bookmarkStart w:id="95" w:name="_Hlk50808856"/>
      <w:bookmarkStart w:id="96" w:name="_Toc75899487"/>
      <w:bookmarkEnd w:id="95"/>
      <w:r>
        <w:t xml:space="preserve">Wykres </w:t>
      </w:r>
      <w:r>
        <w:fldChar w:fldCharType="begin"/>
      </w:r>
      <w:r>
        <w:instrText>SEQ Wykres \* ARABIC</w:instrText>
      </w:r>
      <w:r>
        <w:fldChar w:fldCharType="separate"/>
      </w:r>
      <w:r>
        <w:t>9</w:t>
      </w:r>
      <w:r>
        <w:fldChar w:fldCharType="end"/>
      </w:r>
      <w:r>
        <w:t>: Struktura zarejestrowanych bezrobotnych wg płci na obszarze OF w latach 2015–2019</w:t>
      </w:r>
      <w:bookmarkEnd w:id="96"/>
    </w:p>
    <w:p w:rsidR="00DC75FA" w:rsidRDefault="00887D84">
      <w:pPr>
        <w:pStyle w:val="aaardo"/>
      </w:pPr>
      <w:r>
        <w:rPr>
          <w:noProof/>
          <w:lang w:eastAsia="pl-PL"/>
        </w:rPr>
        <w:drawing>
          <wp:inline distT="0" distB="0" distL="0" distR="0">
            <wp:extent cx="6120130" cy="2743200"/>
            <wp:effectExtent l="0" t="0" r="0" b="0"/>
            <wp:docPr id="71" name="Wykres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analizowanych okresie w każdej z gmin należących do OF odnotowano spadek liczby zarejestrowanych osób bezrobotnych. W ostatnim roku analizy największa liczba bezrobotnych zarejestrowana była w Gminie Milejów, a najmniejsza w gminie Puchaczów. W Gminie Milejów nastąpił również największy spadek liczby zarejestrowanych bezrobotnych (w porównaniu do 2015 r., w 2019 r. było ich o 142 mniej). Najmniejszy spadek osób bezrobotnych na przestrzeni analizowanych lat nastąpił w Gminie Puchaczów (spadek o 50 osób).</w:t>
      </w:r>
    </w:p>
    <w:p w:rsidR="00DC75FA" w:rsidRDefault="00887D84">
      <w:pPr>
        <w:pStyle w:val="aaapodpis"/>
        <w:spacing w:line="276" w:lineRule="auto"/>
      </w:pPr>
      <w:bookmarkStart w:id="97" w:name="_Toc75899488"/>
      <w:r>
        <w:lastRenderedPageBreak/>
        <w:t xml:space="preserve">Wykres </w:t>
      </w:r>
      <w:r>
        <w:fldChar w:fldCharType="begin"/>
      </w:r>
      <w:r>
        <w:instrText>SEQ Wykres \* ARABIC</w:instrText>
      </w:r>
      <w:r>
        <w:fldChar w:fldCharType="separate"/>
      </w:r>
      <w:r>
        <w:t>10</w:t>
      </w:r>
      <w:r>
        <w:fldChar w:fldCharType="end"/>
      </w:r>
      <w:r>
        <w:t>: Liczba zarejestrowanych bezrobotnych ogółem w poszczególnych JST OF w latach 2015–2019</w:t>
      </w:r>
      <w:bookmarkEnd w:id="97"/>
    </w:p>
    <w:p w:rsidR="00DC75FA" w:rsidRDefault="00887D84">
      <w:pPr>
        <w:pStyle w:val="aaardo"/>
      </w:pPr>
      <w:r>
        <w:rPr>
          <w:noProof/>
          <w:lang w:eastAsia="pl-PL"/>
        </w:rPr>
        <w:drawing>
          <wp:inline distT="0" distB="0" distL="0" distR="0">
            <wp:extent cx="6120130" cy="2452370"/>
            <wp:effectExtent l="0" t="0" r="0" b="0"/>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t xml:space="preserve"> 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analizowanym okresie w każdej Gminie wchodzącej w skład OF nastąpił spadek zarejestrowanych mężczyzn oraz kobiet. Największy spadek liczby zarejestrowanych mężczyzn odnotowano w Gminie Urszulin (prawie 51% mniej), najmniejszy natomiast w Gminie Ludwin (-34%). W pozostałych gminach wartości kształtowały się na poziomie -40 - -43%. W Gminach Cyców oraz Milejów odnotowano za to największy spadek zarejestrowanych kobiet, najmniejszy spadek wystąpił w Gminie Puchaczów.</w:t>
      </w:r>
    </w:p>
    <w:p w:rsidR="00DC75FA" w:rsidRDefault="00887D84">
      <w:pPr>
        <w:pStyle w:val="aaapodpis"/>
        <w:spacing w:line="276" w:lineRule="auto"/>
      </w:pPr>
      <w:bookmarkStart w:id="98" w:name="_Toc75899286"/>
      <w:r>
        <w:t>Tabela 8: Struktura zarejestrowanych bezrobotnych w poszczególnych JST OF w latach 2015–2019</w:t>
      </w:r>
      <w:bookmarkEnd w:id="98"/>
      <w:r>
        <w:t> </w:t>
      </w:r>
    </w:p>
    <w:tbl>
      <w:tblPr>
        <w:tblStyle w:val="Jasnecieniowanieakcent11"/>
        <w:tblW w:w="5000" w:type="pct"/>
        <w:tblLook w:val="04A0" w:firstRow="1" w:lastRow="0" w:firstColumn="1" w:lastColumn="0" w:noHBand="0" w:noVBand="1"/>
      </w:tblPr>
      <w:tblGrid>
        <w:gridCol w:w="1852"/>
        <w:gridCol w:w="637"/>
        <w:gridCol w:w="636"/>
        <w:gridCol w:w="636"/>
        <w:gridCol w:w="637"/>
        <w:gridCol w:w="636"/>
        <w:gridCol w:w="819"/>
        <w:gridCol w:w="637"/>
        <w:gridCol w:w="636"/>
        <w:gridCol w:w="636"/>
        <w:gridCol w:w="637"/>
        <w:gridCol w:w="636"/>
        <w:gridCol w:w="819"/>
      </w:tblGrid>
      <w:tr w:rsidR="00DC75FA" w:rsidTr="00DC75F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11" w:type="dxa"/>
            <w:vMerge w:val="restart"/>
            <w:tcBorders>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20"/>
                <w:szCs w:val="20"/>
                <w:lang w:eastAsia="pl-PL"/>
              </w:rPr>
            </w:pPr>
          </w:p>
        </w:tc>
        <w:tc>
          <w:tcPr>
            <w:tcW w:w="3913" w:type="dxa"/>
            <w:gridSpan w:val="6"/>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mężczyźni</w:t>
            </w:r>
          </w:p>
        </w:tc>
        <w:tc>
          <w:tcPr>
            <w:tcW w:w="3913" w:type="dxa"/>
            <w:gridSpan w:val="6"/>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kobiety</w:t>
            </w:r>
          </w:p>
        </w:tc>
      </w:tr>
      <w:tr w:rsidR="0085007C" w:rsidTr="00DC75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11" w:type="dxa"/>
            <w:vMerge/>
            <w:tcBorders>
              <w:bottom w:val="single" w:sz="4" w:space="0" w:color="5B9BD5"/>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20"/>
                <w:szCs w:val="20"/>
                <w:lang w:eastAsia="pl-PL"/>
              </w:rPr>
            </w:pPr>
          </w:p>
        </w:tc>
        <w:tc>
          <w:tcPr>
            <w:tcW w:w="623" w:type="dxa"/>
            <w:tcBorders>
              <w:top w:val="single" w:sz="4" w:space="0" w:color="5B9BD5"/>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2015</w:t>
            </w:r>
          </w:p>
        </w:tc>
        <w:tc>
          <w:tcPr>
            <w:tcW w:w="622" w:type="dxa"/>
            <w:tcBorders>
              <w:top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2016</w:t>
            </w:r>
          </w:p>
        </w:tc>
        <w:tc>
          <w:tcPr>
            <w:tcW w:w="622" w:type="dxa"/>
            <w:tcBorders>
              <w:top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2017</w:t>
            </w:r>
          </w:p>
        </w:tc>
        <w:tc>
          <w:tcPr>
            <w:tcW w:w="623" w:type="dxa"/>
            <w:tcBorders>
              <w:top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2018</w:t>
            </w:r>
          </w:p>
        </w:tc>
        <w:tc>
          <w:tcPr>
            <w:tcW w:w="622" w:type="dxa"/>
            <w:tcBorders>
              <w:top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2019</w:t>
            </w:r>
          </w:p>
        </w:tc>
        <w:tc>
          <w:tcPr>
            <w:tcW w:w="801" w:type="dxa"/>
            <w:tcBorders>
              <w:top w:val="single" w:sz="4" w:space="0" w:color="5B9BD5"/>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iCs/>
                <w:sz w:val="20"/>
                <w:szCs w:val="20"/>
                <w:lang w:eastAsia="pl-PL"/>
              </w:rPr>
            </w:pPr>
            <w:r>
              <w:rPr>
                <w:rFonts w:asciiTheme="majorHAnsi" w:eastAsia="Times New Roman" w:hAnsiTheme="majorHAnsi" w:cstheme="majorHAnsi"/>
                <w:b/>
                <w:bCs/>
                <w:i/>
                <w:iCs/>
                <w:sz w:val="20"/>
                <w:szCs w:val="20"/>
                <w:lang w:eastAsia="pl-PL"/>
              </w:rPr>
              <w:t>zmiana</w:t>
            </w:r>
          </w:p>
        </w:tc>
        <w:tc>
          <w:tcPr>
            <w:tcW w:w="623" w:type="dxa"/>
            <w:tcBorders>
              <w:top w:val="single" w:sz="4" w:space="0" w:color="5B9BD5"/>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2015</w:t>
            </w:r>
          </w:p>
        </w:tc>
        <w:tc>
          <w:tcPr>
            <w:tcW w:w="622" w:type="dxa"/>
            <w:tcBorders>
              <w:top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2016</w:t>
            </w:r>
          </w:p>
        </w:tc>
        <w:tc>
          <w:tcPr>
            <w:tcW w:w="622" w:type="dxa"/>
            <w:tcBorders>
              <w:top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2017</w:t>
            </w:r>
          </w:p>
        </w:tc>
        <w:tc>
          <w:tcPr>
            <w:tcW w:w="623" w:type="dxa"/>
            <w:tcBorders>
              <w:top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2018</w:t>
            </w:r>
          </w:p>
        </w:tc>
        <w:tc>
          <w:tcPr>
            <w:tcW w:w="622" w:type="dxa"/>
            <w:tcBorders>
              <w:top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2019</w:t>
            </w:r>
          </w:p>
        </w:tc>
        <w:tc>
          <w:tcPr>
            <w:tcW w:w="801" w:type="dxa"/>
            <w:tcBorders>
              <w:top w:val="single" w:sz="4" w:space="0" w:color="5B9BD5"/>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iCs/>
                <w:sz w:val="20"/>
                <w:szCs w:val="20"/>
                <w:lang w:eastAsia="pl-PL"/>
              </w:rPr>
            </w:pPr>
            <w:r>
              <w:rPr>
                <w:rFonts w:asciiTheme="majorHAnsi" w:eastAsia="Times New Roman" w:hAnsiTheme="majorHAnsi" w:cstheme="majorHAnsi"/>
                <w:b/>
                <w:bCs/>
                <w:i/>
                <w:iCs/>
                <w:sz w:val="20"/>
                <w:szCs w:val="20"/>
                <w:lang w:eastAsia="pl-PL"/>
              </w:rPr>
              <w:t>zmiana</w:t>
            </w:r>
          </w:p>
        </w:tc>
      </w:tr>
      <w:tr w:rsidR="00DC75FA" w:rsidTr="00DC75FA">
        <w:trPr>
          <w:trHeight w:val="280"/>
        </w:trPr>
        <w:tc>
          <w:tcPr>
            <w:cnfStyle w:val="001000000000" w:firstRow="0" w:lastRow="0" w:firstColumn="1" w:lastColumn="0" w:oddVBand="0" w:evenVBand="0" w:oddHBand="0" w:evenHBand="0" w:firstRowFirstColumn="0" w:firstRowLastColumn="0" w:lastRowFirstColumn="0" w:lastRowLastColumn="0"/>
            <w:tcW w:w="1811" w:type="dxa"/>
            <w:tcBorders>
              <w:top w:val="single" w:sz="4" w:space="0" w:color="5B9BD5"/>
              <w:left w:val="single" w:sz="4" w:space="0" w:color="5B9BD5"/>
              <w:bottom w:val="nil"/>
              <w:right w:val="single" w:sz="4" w:space="0" w:color="5B9BD5"/>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Milejów</w:t>
            </w:r>
          </w:p>
        </w:tc>
        <w:tc>
          <w:tcPr>
            <w:tcW w:w="623" w:type="dxa"/>
            <w:tcBorders>
              <w:top w:val="single" w:sz="4" w:space="0" w:color="5B9BD5"/>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184</w:t>
            </w:r>
          </w:p>
        </w:tc>
        <w:tc>
          <w:tcPr>
            <w:tcW w:w="622"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146</w:t>
            </w:r>
          </w:p>
        </w:tc>
        <w:tc>
          <w:tcPr>
            <w:tcW w:w="622"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98</w:t>
            </w:r>
          </w:p>
        </w:tc>
        <w:tc>
          <w:tcPr>
            <w:tcW w:w="623"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106</w:t>
            </w:r>
          </w:p>
        </w:tc>
        <w:tc>
          <w:tcPr>
            <w:tcW w:w="622" w:type="dxa"/>
            <w:tcBorders>
              <w:top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110</w:t>
            </w:r>
          </w:p>
        </w:tc>
        <w:tc>
          <w:tcPr>
            <w:tcW w:w="801" w:type="dxa"/>
            <w:tcBorders>
              <w:top w:val="single" w:sz="4" w:space="0" w:color="5B9BD5"/>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-40,2%</w:t>
            </w:r>
          </w:p>
        </w:tc>
        <w:tc>
          <w:tcPr>
            <w:tcW w:w="623" w:type="dxa"/>
            <w:tcBorders>
              <w:top w:val="single" w:sz="4" w:space="0" w:color="5B9BD5"/>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195</w:t>
            </w:r>
          </w:p>
        </w:tc>
        <w:tc>
          <w:tcPr>
            <w:tcW w:w="622"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165</w:t>
            </w:r>
          </w:p>
        </w:tc>
        <w:tc>
          <w:tcPr>
            <w:tcW w:w="622"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156</w:t>
            </w:r>
          </w:p>
        </w:tc>
        <w:tc>
          <w:tcPr>
            <w:tcW w:w="623"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133</w:t>
            </w:r>
          </w:p>
        </w:tc>
        <w:tc>
          <w:tcPr>
            <w:tcW w:w="622" w:type="dxa"/>
            <w:tcBorders>
              <w:top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127</w:t>
            </w:r>
          </w:p>
        </w:tc>
        <w:tc>
          <w:tcPr>
            <w:tcW w:w="801" w:type="dxa"/>
            <w:tcBorders>
              <w:top w:val="single" w:sz="4" w:space="0" w:color="5B9BD5"/>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-34,9%</w:t>
            </w:r>
          </w:p>
        </w:tc>
      </w:tr>
      <w:tr w:rsidR="0085007C" w:rsidTr="00DC75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11" w:type="dxa"/>
            <w:tcBorders>
              <w:top w:val="nil"/>
              <w:left w:val="single" w:sz="4" w:space="0" w:color="5B9BD5"/>
              <w:bottom w:val="nil"/>
              <w:right w:val="single" w:sz="4" w:space="0" w:color="5B9BD5"/>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Cyców</w:t>
            </w:r>
          </w:p>
        </w:tc>
        <w:tc>
          <w:tcPr>
            <w:tcW w:w="623"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141</w:t>
            </w:r>
          </w:p>
        </w:tc>
        <w:tc>
          <w:tcPr>
            <w:tcW w:w="62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117</w:t>
            </w:r>
          </w:p>
        </w:tc>
        <w:tc>
          <w:tcPr>
            <w:tcW w:w="62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96</w:t>
            </w:r>
          </w:p>
        </w:tc>
        <w:tc>
          <w:tcPr>
            <w:tcW w:w="62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84</w:t>
            </w:r>
          </w:p>
        </w:tc>
        <w:tc>
          <w:tcPr>
            <w:tcW w:w="622"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82</w:t>
            </w:r>
          </w:p>
        </w:tc>
        <w:tc>
          <w:tcPr>
            <w:tcW w:w="801"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-41,8%</w:t>
            </w:r>
          </w:p>
        </w:tc>
        <w:tc>
          <w:tcPr>
            <w:tcW w:w="623"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181</w:t>
            </w:r>
          </w:p>
        </w:tc>
        <w:tc>
          <w:tcPr>
            <w:tcW w:w="62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138</w:t>
            </w:r>
          </w:p>
        </w:tc>
        <w:tc>
          <w:tcPr>
            <w:tcW w:w="62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128</w:t>
            </w:r>
          </w:p>
        </w:tc>
        <w:tc>
          <w:tcPr>
            <w:tcW w:w="62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120</w:t>
            </w:r>
          </w:p>
        </w:tc>
        <w:tc>
          <w:tcPr>
            <w:tcW w:w="622"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116</w:t>
            </w:r>
          </w:p>
        </w:tc>
        <w:tc>
          <w:tcPr>
            <w:tcW w:w="801"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-35,9%</w:t>
            </w:r>
          </w:p>
        </w:tc>
      </w:tr>
      <w:tr w:rsidR="00DC75FA" w:rsidTr="00DC75FA">
        <w:trPr>
          <w:trHeight w:val="280"/>
        </w:trPr>
        <w:tc>
          <w:tcPr>
            <w:cnfStyle w:val="001000000000" w:firstRow="0" w:lastRow="0" w:firstColumn="1" w:lastColumn="0" w:oddVBand="0" w:evenVBand="0" w:oddHBand="0" w:evenHBand="0" w:firstRowFirstColumn="0" w:firstRowLastColumn="0" w:lastRowFirstColumn="0" w:lastRowLastColumn="0"/>
            <w:tcW w:w="1811"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Urszulin</w:t>
            </w:r>
          </w:p>
        </w:tc>
        <w:tc>
          <w:tcPr>
            <w:tcW w:w="623"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138</w:t>
            </w:r>
          </w:p>
        </w:tc>
        <w:tc>
          <w:tcPr>
            <w:tcW w:w="62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122</w:t>
            </w:r>
          </w:p>
        </w:tc>
        <w:tc>
          <w:tcPr>
            <w:tcW w:w="62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83</w:t>
            </w:r>
          </w:p>
        </w:tc>
        <w:tc>
          <w:tcPr>
            <w:tcW w:w="623"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72</w:t>
            </w:r>
          </w:p>
        </w:tc>
        <w:tc>
          <w:tcPr>
            <w:tcW w:w="622"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68</w:t>
            </w:r>
          </w:p>
        </w:tc>
        <w:tc>
          <w:tcPr>
            <w:tcW w:w="801"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-50,7%</w:t>
            </w:r>
          </w:p>
        </w:tc>
        <w:tc>
          <w:tcPr>
            <w:tcW w:w="623"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145</w:t>
            </w:r>
          </w:p>
        </w:tc>
        <w:tc>
          <w:tcPr>
            <w:tcW w:w="62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131</w:t>
            </w:r>
          </w:p>
        </w:tc>
        <w:tc>
          <w:tcPr>
            <w:tcW w:w="62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129</w:t>
            </w:r>
          </w:p>
        </w:tc>
        <w:tc>
          <w:tcPr>
            <w:tcW w:w="623"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111</w:t>
            </w:r>
          </w:p>
        </w:tc>
        <w:tc>
          <w:tcPr>
            <w:tcW w:w="622"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113</w:t>
            </w:r>
          </w:p>
        </w:tc>
        <w:tc>
          <w:tcPr>
            <w:tcW w:w="801"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-22,1%</w:t>
            </w:r>
          </w:p>
        </w:tc>
      </w:tr>
      <w:tr w:rsidR="0085007C" w:rsidTr="00DC75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11" w:type="dxa"/>
            <w:tcBorders>
              <w:top w:val="nil"/>
              <w:left w:val="single" w:sz="4" w:space="0" w:color="5B9BD5"/>
              <w:bottom w:val="nil"/>
              <w:right w:val="single" w:sz="4" w:space="0" w:color="5B9BD5"/>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Ludwin</w:t>
            </w:r>
          </w:p>
        </w:tc>
        <w:tc>
          <w:tcPr>
            <w:tcW w:w="623"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109</w:t>
            </w:r>
          </w:p>
        </w:tc>
        <w:tc>
          <w:tcPr>
            <w:tcW w:w="62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96</w:t>
            </w:r>
          </w:p>
        </w:tc>
        <w:tc>
          <w:tcPr>
            <w:tcW w:w="62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68</w:t>
            </w:r>
          </w:p>
        </w:tc>
        <w:tc>
          <w:tcPr>
            <w:tcW w:w="62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68</w:t>
            </w:r>
          </w:p>
        </w:tc>
        <w:tc>
          <w:tcPr>
            <w:tcW w:w="622"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72</w:t>
            </w:r>
          </w:p>
        </w:tc>
        <w:tc>
          <w:tcPr>
            <w:tcW w:w="801"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-33,9%</w:t>
            </w:r>
          </w:p>
        </w:tc>
        <w:tc>
          <w:tcPr>
            <w:tcW w:w="623"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111</w:t>
            </w:r>
          </w:p>
        </w:tc>
        <w:tc>
          <w:tcPr>
            <w:tcW w:w="62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92</w:t>
            </w:r>
          </w:p>
        </w:tc>
        <w:tc>
          <w:tcPr>
            <w:tcW w:w="62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98</w:t>
            </w:r>
          </w:p>
        </w:tc>
        <w:tc>
          <w:tcPr>
            <w:tcW w:w="623"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95</w:t>
            </w:r>
          </w:p>
        </w:tc>
        <w:tc>
          <w:tcPr>
            <w:tcW w:w="622"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86</w:t>
            </w:r>
          </w:p>
        </w:tc>
        <w:tc>
          <w:tcPr>
            <w:tcW w:w="801"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-22,5%</w:t>
            </w:r>
          </w:p>
        </w:tc>
      </w:tr>
      <w:tr w:rsidR="00DC75FA" w:rsidTr="00DC75FA">
        <w:trPr>
          <w:trHeight w:val="280"/>
        </w:trPr>
        <w:tc>
          <w:tcPr>
            <w:cnfStyle w:val="001000000000" w:firstRow="0" w:lastRow="0" w:firstColumn="1" w:lastColumn="0" w:oddVBand="0" w:evenVBand="0" w:oddHBand="0" w:evenHBand="0" w:firstRowFirstColumn="0" w:firstRowLastColumn="0" w:lastRowFirstColumn="0" w:lastRowLastColumn="0"/>
            <w:tcW w:w="1811"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Puchaczów</w:t>
            </w:r>
          </w:p>
        </w:tc>
        <w:tc>
          <w:tcPr>
            <w:tcW w:w="623"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81</w:t>
            </w:r>
          </w:p>
        </w:tc>
        <w:tc>
          <w:tcPr>
            <w:tcW w:w="62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63</w:t>
            </w:r>
          </w:p>
        </w:tc>
        <w:tc>
          <w:tcPr>
            <w:tcW w:w="62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49</w:t>
            </w:r>
          </w:p>
        </w:tc>
        <w:tc>
          <w:tcPr>
            <w:tcW w:w="623"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51</w:t>
            </w:r>
          </w:p>
        </w:tc>
        <w:tc>
          <w:tcPr>
            <w:tcW w:w="622"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46</w:t>
            </w:r>
          </w:p>
        </w:tc>
        <w:tc>
          <w:tcPr>
            <w:tcW w:w="801"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-43,2%</w:t>
            </w:r>
          </w:p>
        </w:tc>
        <w:tc>
          <w:tcPr>
            <w:tcW w:w="623"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98</w:t>
            </w:r>
          </w:p>
        </w:tc>
        <w:tc>
          <w:tcPr>
            <w:tcW w:w="62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84</w:t>
            </w:r>
          </w:p>
        </w:tc>
        <w:tc>
          <w:tcPr>
            <w:tcW w:w="62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76</w:t>
            </w:r>
          </w:p>
        </w:tc>
        <w:tc>
          <w:tcPr>
            <w:tcW w:w="623"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79</w:t>
            </w:r>
          </w:p>
        </w:tc>
        <w:tc>
          <w:tcPr>
            <w:tcW w:w="622"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83</w:t>
            </w:r>
          </w:p>
        </w:tc>
        <w:tc>
          <w:tcPr>
            <w:tcW w:w="801"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-15,3%</w:t>
            </w:r>
          </w:p>
        </w:tc>
      </w:tr>
      <w:tr w:rsidR="0085007C" w:rsidTr="00DC75F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811" w:type="dxa"/>
            <w:tcBorders>
              <w:top w:val="single" w:sz="4" w:space="0" w:color="5B9BD5"/>
              <w:left w:val="single" w:sz="4" w:space="0" w:color="5B9BD5"/>
              <w:bottom w:val="single" w:sz="4" w:space="0" w:color="5B9BD5"/>
              <w:right w:val="single" w:sz="4" w:space="0" w:color="5B9BD5"/>
            </w:tcBorders>
            <w:vAlign w:val="bottom"/>
          </w:tcPr>
          <w:p w:rsidR="00DC75FA" w:rsidRDefault="00887D84">
            <w:pPr>
              <w:spacing w:after="0" w:line="240" w:lineRule="auto"/>
              <w:jc w:val="center"/>
              <w:rPr>
                <w:rFonts w:asciiTheme="majorHAnsi" w:eastAsia="Times New Roman" w:hAnsiTheme="majorHAnsi" w:cstheme="majorHAnsi"/>
                <w:sz w:val="20"/>
                <w:szCs w:val="20"/>
                <w:lang w:eastAsia="pl-PL"/>
              </w:rPr>
            </w:pPr>
            <w:r>
              <w:rPr>
                <w:rFonts w:asciiTheme="majorHAnsi" w:hAnsiTheme="majorHAnsi" w:cstheme="majorHAnsi"/>
                <w:sz w:val="20"/>
                <w:szCs w:val="20"/>
              </w:rPr>
              <w:t>SUMA</w:t>
            </w:r>
          </w:p>
        </w:tc>
        <w:tc>
          <w:tcPr>
            <w:tcW w:w="623" w:type="dxa"/>
            <w:tcBorders>
              <w:top w:val="single" w:sz="4" w:space="0" w:color="5B9BD5"/>
              <w:left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653</w:t>
            </w:r>
          </w:p>
        </w:tc>
        <w:tc>
          <w:tcPr>
            <w:tcW w:w="622" w:type="dxa"/>
            <w:tcBorders>
              <w:top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544</w:t>
            </w:r>
          </w:p>
        </w:tc>
        <w:tc>
          <w:tcPr>
            <w:tcW w:w="622" w:type="dxa"/>
            <w:tcBorders>
              <w:top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394</w:t>
            </w:r>
          </w:p>
        </w:tc>
        <w:tc>
          <w:tcPr>
            <w:tcW w:w="623" w:type="dxa"/>
            <w:tcBorders>
              <w:top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381</w:t>
            </w:r>
          </w:p>
        </w:tc>
        <w:tc>
          <w:tcPr>
            <w:tcW w:w="622" w:type="dxa"/>
            <w:tcBorders>
              <w:top w:val="single" w:sz="4" w:space="0" w:color="5B9BD5"/>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378</w:t>
            </w:r>
          </w:p>
        </w:tc>
        <w:tc>
          <w:tcPr>
            <w:tcW w:w="801" w:type="dxa"/>
            <w:tcBorders>
              <w:top w:val="single" w:sz="4" w:space="0" w:color="5B9BD5"/>
              <w:left w:val="single" w:sz="4" w:space="0" w:color="5B9BD5"/>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-42,1%</w:t>
            </w:r>
          </w:p>
        </w:tc>
        <w:tc>
          <w:tcPr>
            <w:tcW w:w="623" w:type="dxa"/>
            <w:tcBorders>
              <w:top w:val="single" w:sz="4" w:space="0" w:color="5B9BD5"/>
              <w:left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730</w:t>
            </w:r>
          </w:p>
        </w:tc>
        <w:tc>
          <w:tcPr>
            <w:tcW w:w="622" w:type="dxa"/>
            <w:tcBorders>
              <w:top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610</w:t>
            </w:r>
          </w:p>
        </w:tc>
        <w:tc>
          <w:tcPr>
            <w:tcW w:w="622" w:type="dxa"/>
            <w:tcBorders>
              <w:top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587</w:t>
            </w:r>
          </w:p>
        </w:tc>
        <w:tc>
          <w:tcPr>
            <w:tcW w:w="623" w:type="dxa"/>
            <w:tcBorders>
              <w:top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538</w:t>
            </w:r>
          </w:p>
        </w:tc>
        <w:tc>
          <w:tcPr>
            <w:tcW w:w="622" w:type="dxa"/>
            <w:tcBorders>
              <w:top w:val="single" w:sz="4" w:space="0" w:color="5B9BD5"/>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525</w:t>
            </w:r>
          </w:p>
        </w:tc>
        <w:tc>
          <w:tcPr>
            <w:tcW w:w="801" w:type="dxa"/>
            <w:tcBorders>
              <w:top w:val="single" w:sz="4" w:space="0" w:color="5B9BD5"/>
              <w:left w:val="single" w:sz="4" w:space="0" w:color="5B9BD5"/>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-28,1%</w:t>
            </w:r>
          </w:p>
        </w:tc>
      </w:tr>
    </w:tbl>
    <w:p w:rsidR="00DC75FA" w:rsidRDefault="00887D84">
      <w:pPr>
        <w:pStyle w:val="aaardo"/>
      </w:pPr>
      <w:r>
        <w:t>Źródło: opracowanie własne na podstawie danych GUS – Bank Danych Lokalnych.</w:t>
      </w:r>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99" w:name="_Toc116896672"/>
      <w:r>
        <w:rPr>
          <w:rFonts w:ascii="Times New Roman" w:hAnsi="Times New Roman" w:cs="Times New Roman"/>
          <w:b/>
          <w:color w:val="5B9BD5" w:themeColor="accent1"/>
          <w:sz w:val="24"/>
          <w:szCs w:val="24"/>
        </w:rPr>
        <w:t>Aktywność społeczna mieszkańców</w:t>
      </w:r>
      <w:bookmarkEnd w:id="99"/>
    </w:p>
    <w:p w:rsidR="00DC75FA" w:rsidRDefault="00887D84">
      <w:pPr>
        <w:ind w:firstLine="567"/>
        <w:jc w:val="both"/>
        <w:rPr>
          <w:rFonts w:ascii="Times New Roman" w:hAnsi="Times New Roman" w:cs="Times New Roman"/>
        </w:rPr>
      </w:pPr>
      <w:r>
        <w:rPr>
          <w:rFonts w:ascii="Times New Roman" w:hAnsi="Times New Roman" w:cs="Times New Roman"/>
        </w:rPr>
        <w:t xml:space="preserve">O aktywności społecznej mieszkańców świadczy m.in. uczestnictwo w wyborach. Średnia frekwencja dla całego obszaru funkcjonalnego zazwyczaj jest niższa niż średnia dla województwa, z wyjątkiem II tury wyborów Prezydenta RP w 2019 r. oraz wyborów samorządowych w 2018 r. Najwyższą frekwencję (na terenie wszystkich jednostek wchodzących w skład OF) odnotowano podczas tegorocznych wyborów Prezydenta RP – średnio wyniosła ona 67%, najniższą zaś odnotowano podczas wyborów do Parlamentu Europejskiego w 2019 r i wyniosła ona niespełna 40%. Z całego OF najwyższe średnie frekwencje uzyskuje Gmina Puchaczów (z wyjątkiem II tury wyborów Prezydenta RP, w tym wypadku najwyższą frekwencję uzyskała Gmina Urszulin), najniższe Gmina Milejów. </w:t>
      </w:r>
    </w:p>
    <w:p w:rsidR="00DC75FA" w:rsidRDefault="00887D84">
      <w:pPr>
        <w:pStyle w:val="aaapodpis"/>
      </w:pPr>
      <w:bookmarkStart w:id="100" w:name="_Toc75899489"/>
      <w:r>
        <w:lastRenderedPageBreak/>
        <w:t xml:space="preserve">Wykres </w:t>
      </w:r>
      <w:r>
        <w:fldChar w:fldCharType="begin"/>
      </w:r>
      <w:r>
        <w:instrText>SEQ Wykres \* ARABIC</w:instrText>
      </w:r>
      <w:r>
        <w:fldChar w:fldCharType="separate"/>
      </w:r>
      <w:r>
        <w:t>11</w:t>
      </w:r>
      <w:r>
        <w:fldChar w:fldCharType="end"/>
      </w:r>
      <w:r>
        <w:t>: Średnia frekwencja w wyborach w latach 2015–2019 na terenie OF, w porównaniu z powiatem łęczyńskim i włodawskim oraz województwem lubelskim</w:t>
      </w:r>
      <w:bookmarkEnd w:id="100"/>
    </w:p>
    <w:p w:rsidR="00DC75FA" w:rsidRDefault="00887D84">
      <w:pPr>
        <w:pStyle w:val="aaardo"/>
      </w:pPr>
      <w:r>
        <w:rPr>
          <w:noProof/>
          <w:lang w:eastAsia="pl-PL"/>
        </w:rPr>
        <w:drawing>
          <wp:inline distT="0" distB="0" distL="0" distR="0">
            <wp:extent cx="6120130" cy="2747645"/>
            <wp:effectExtent l="0" t="0" r="0" b="0"/>
            <wp:docPr id="73" name="Wykres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t xml:space="preserve"> Źródło: opracowanie własne na podstawie danych Polskiej Komisji Wyborczej, </w:t>
      </w:r>
      <w:hyperlink r:id="rId95">
        <w:r>
          <w:rPr>
            <w:rStyle w:val="czeinternetowe"/>
          </w:rPr>
          <w:t>www.pkw.gov.pl</w:t>
        </w:r>
      </w:hyperlink>
      <w:r>
        <w:t>.</w:t>
      </w:r>
    </w:p>
    <w:p w:rsidR="00DC75FA" w:rsidRDefault="00887D84">
      <w:pPr>
        <w:pStyle w:val="aaapodpis"/>
      </w:pPr>
      <w:bookmarkStart w:id="101" w:name="_Toc75899490"/>
      <w:r>
        <w:t xml:space="preserve">Wykres </w:t>
      </w:r>
      <w:r>
        <w:fldChar w:fldCharType="begin"/>
      </w:r>
      <w:r>
        <w:instrText>SEQ Wykres \* ARABIC</w:instrText>
      </w:r>
      <w:r>
        <w:fldChar w:fldCharType="separate"/>
      </w:r>
      <w:r>
        <w:t>12</w:t>
      </w:r>
      <w:r>
        <w:fldChar w:fldCharType="end"/>
      </w:r>
      <w:r>
        <w:t>: Frekwencja w wyborach w latach 2015–2019 na terenie poszczególnych JST wchodzących w skład OF</w:t>
      </w:r>
      <w:bookmarkEnd w:id="101"/>
    </w:p>
    <w:p w:rsidR="00DC75FA" w:rsidRDefault="00887D84">
      <w:pPr>
        <w:pStyle w:val="aaardo"/>
      </w:pPr>
      <w:r>
        <w:rPr>
          <w:noProof/>
          <w:lang w:eastAsia="pl-PL"/>
        </w:rPr>
        <w:drawing>
          <wp:inline distT="0" distB="0" distL="0" distR="0">
            <wp:extent cx="6120130" cy="2895600"/>
            <wp:effectExtent l="0" t="0" r="0" b="0"/>
            <wp:docPr id="74" name="Wykres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t xml:space="preserve"> Źródło: opracowanie własne na podstawie danych Polskiej Komisji Wyborczej, </w:t>
      </w:r>
      <w:hyperlink r:id="rId97">
        <w:r>
          <w:rPr>
            <w:rStyle w:val="czeinternetowe"/>
          </w:rPr>
          <w:t>www.pkw.gov.pl</w:t>
        </w:r>
      </w:hyperlink>
      <w:r>
        <w:t>.</w:t>
      </w:r>
    </w:p>
    <w:p w:rsidR="00DC75FA" w:rsidRDefault="00887D84">
      <w:pPr>
        <w:ind w:firstLine="567"/>
        <w:jc w:val="both"/>
        <w:rPr>
          <w:rFonts w:ascii="Times New Roman" w:hAnsi="Times New Roman" w:cs="Times New Roman"/>
        </w:rPr>
      </w:pPr>
      <w:r>
        <w:rPr>
          <w:rFonts w:ascii="Times New Roman" w:hAnsi="Times New Roman" w:cs="Times New Roman"/>
        </w:rPr>
        <w:t>O aktywności społecznej mieszkańców świadczy również liczba istniejących organizacji pozarządowych. Zgodnie z danymi Głównego Urzędu Statystycznego, na obszarze OF w 2019 r. działalność prowadziło 128 organizacji pozarządowych łącznie, w tym 119 stowarzyszeń i organizacji społecznych. W porównaniu do 2015 r. liczba organizacji należących do trzeciego sektora wzrosła o 6.</w:t>
      </w:r>
    </w:p>
    <w:p w:rsidR="00DC75FA" w:rsidRDefault="00887D84">
      <w:pPr>
        <w:pStyle w:val="aaapodpis"/>
        <w:spacing w:line="276" w:lineRule="auto"/>
      </w:pPr>
      <w:bookmarkStart w:id="102" w:name="_Toc75899491"/>
      <w:r>
        <w:lastRenderedPageBreak/>
        <w:t xml:space="preserve">Wykres </w:t>
      </w:r>
      <w:r>
        <w:fldChar w:fldCharType="begin"/>
      </w:r>
      <w:r>
        <w:instrText>SEQ Wykres \* ARABIC</w:instrText>
      </w:r>
      <w:r>
        <w:fldChar w:fldCharType="separate"/>
      </w:r>
      <w:r>
        <w:t>13</w:t>
      </w:r>
      <w:r>
        <w:fldChar w:fldCharType="end"/>
      </w:r>
      <w:r>
        <w:t>: Fundacje, stowarzyszenia i organizacje społeczne na obszarze OF w latach 2015–2019</w:t>
      </w:r>
      <w:bookmarkEnd w:id="102"/>
      <w:r>
        <w:t xml:space="preserve"> </w:t>
      </w:r>
    </w:p>
    <w:p w:rsidR="00DC75FA" w:rsidRDefault="00887D84">
      <w:pPr>
        <w:pStyle w:val="aaardo"/>
      </w:pPr>
      <w:r>
        <w:rPr>
          <w:noProof/>
          <w:lang w:eastAsia="pl-PL"/>
        </w:rPr>
        <w:drawing>
          <wp:inline distT="0" distB="0" distL="0" distR="0">
            <wp:extent cx="6120130" cy="2535555"/>
            <wp:effectExtent l="0" t="0" r="0" b="0"/>
            <wp:docPr id="75" name="Wykr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lang w:eastAsia="pl-PL"/>
        </w:rPr>
        <w:t xml:space="preserve"> </w:t>
      </w: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Największa liczba organizacji pozarządowych zarejestrowana była na terenie Gmin Puchaczów oraz Milejów (odpowiednio 31 oraz 30 organizacji w 2019 r.), a najmniejsza liczba zarejestrowanych organizacji zanotowana została w Gminie Urszulin oraz Ludwin (odpowiednio 20 oraz 21). Analizując liczbę organizacji na przestrzeni lat 2015–2019 okazuje się, że ich liczba zwiększyła się na terenie gmin Cyców, Puchaczów oraz Ludwin.</w:t>
      </w:r>
    </w:p>
    <w:p w:rsidR="00DC75FA" w:rsidRDefault="00887D84">
      <w:pPr>
        <w:pStyle w:val="aaapodpis"/>
        <w:spacing w:line="276" w:lineRule="auto"/>
      </w:pPr>
      <w:bookmarkStart w:id="103" w:name="_Toc75899492"/>
      <w:r>
        <w:t xml:space="preserve">Wykres </w:t>
      </w:r>
      <w:r>
        <w:fldChar w:fldCharType="begin"/>
      </w:r>
      <w:r>
        <w:instrText>SEQ Wykres \* ARABIC</w:instrText>
      </w:r>
      <w:r>
        <w:fldChar w:fldCharType="separate"/>
      </w:r>
      <w:r>
        <w:t>14</w:t>
      </w:r>
      <w:r>
        <w:fldChar w:fldCharType="end"/>
      </w:r>
      <w:r>
        <w:t>: Liczba organizacji pozarządowych zarejestrowanych w poszczególnych JST OF w latach 2015–2019</w:t>
      </w:r>
      <w:bookmarkEnd w:id="103"/>
      <w:r>
        <w:t> </w:t>
      </w:r>
    </w:p>
    <w:p w:rsidR="00DC75FA" w:rsidRDefault="00887D84">
      <w:pPr>
        <w:pStyle w:val="aaardo"/>
      </w:pPr>
      <w:r>
        <w:rPr>
          <w:noProof/>
          <w:lang w:eastAsia="pl-PL"/>
        </w:rPr>
        <w:drawing>
          <wp:inline distT="0" distB="0" distL="0" distR="0">
            <wp:extent cx="6120130" cy="1797685"/>
            <wp:effectExtent l="0" t="0" r="0" b="0"/>
            <wp:docPr id="76" name="Wykres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t xml:space="preserve"> 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Liczba fundacji, stowarzyszeń i organizacji społecznych w przeliczeniu na 1 000 mieszkańców na terenie OF była w analizowanym okresie wyższa nić w całym województwie lubelskim oraz powiecie łęczyńskim, jednak niższa niż w powiecie włodawskim. Do 2018 r. wartość wskaźnika rosła i osiągnęła wartość 4,24. Na koniec analizy, w 2019 r., wyniosła jednak 4,15.</w:t>
      </w:r>
    </w:p>
    <w:p w:rsidR="00DC75FA" w:rsidRDefault="00887D84">
      <w:pPr>
        <w:pStyle w:val="aaapodpis"/>
      </w:pPr>
      <w:bookmarkStart w:id="104" w:name="_Toc75899493"/>
      <w:r>
        <w:lastRenderedPageBreak/>
        <w:t>Wykres 28: Fundacje, stowarzyszenia i organizacje społeczne na 1 000 mieszkańców na terenie OF w porównaniu z powiatem łęczyńskim i włodawskim oraz województwem lubelskim w latach 2015–2019</w:t>
      </w:r>
      <w:bookmarkEnd w:id="104"/>
    </w:p>
    <w:p w:rsidR="00DC75FA" w:rsidRDefault="00887D84">
      <w:pPr>
        <w:pStyle w:val="aaardo"/>
      </w:pPr>
      <w:r>
        <w:rPr>
          <w:noProof/>
          <w:lang w:eastAsia="pl-PL"/>
        </w:rPr>
        <w:drawing>
          <wp:inline distT="0" distB="0" distL="0" distR="0">
            <wp:extent cx="6120130" cy="2673985"/>
            <wp:effectExtent l="0" t="0" r="0" b="0"/>
            <wp:docPr id="77" name="Wykres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t xml:space="preserve"> Źródło: opracowanie własne na podstawie danych GUS – Bank Danych Lokalnych.</w:t>
      </w:r>
    </w:p>
    <w:p w:rsidR="00DC75FA" w:rsidRDefault="00887D84">
      <w:pPr>
        <w:spacing w:after="0"/>
        <w:ind w:firstLine="567"/>
        <w:rPr>
          <w:rFonts w:ascii="Times New Roman" w:hAnsi="Times New Roman" w:cs="Times New Roman"/>
        </w:rPr>
      </w:pPr>
      <w:r>
        <w:rPr>
          <w:rFonts w:ascii="Times New Roman" w:hAnsi="Times New Roman" w:cs="Times New Roman"/>
        </w:rPr>
        <w:t>Miejscem kultywowania polskiej tradycji, pielęgnowania sztuki ludowej i jednocześnie doskonalenia umiejętności gospodarowania są koła gospodyń wiejskich. Na obszarze OF koła gospodyń wiejskich prowadziły działalność w</w:t>
      </w:r>
      <w:r>
        <w:rPr>
          <w:rStyle w:val="Zakotwiczenieprzypisudolnego"/>
          <w:rFonts w:ascii="Times New Roman" w:hAnsi="Times New Roman" w:cs="Times New Roman"/>
        </w:rPr>
        <w:footnoteReference w:id="3"/>
      </w:r>
      <w:r>
        <w:rPr>
          <w:rFonts w:ascii="Times New Roman" w:hAnsi="Times New Roman" w:cs="Times New Roman"/>
        </w:rPr>
        <w:t>:</w:t>
      </w:r>
    </w:p>
    <w:p w:rsidR="00DC75FA" w:rsidRDefault="00887D84">
      <w:pPr>
        <w:pStyle w:val="Akapitzlist"/>
        <w:numPr>
          <w:ilvl w:val="0"/>
          <w:numId w:val="34"/>
        </w:numPr>
        <w:spacing w:after="0" w:line="276" w:lineRule="auto"/>
        <w:jc w:val="both"/>
        <w:rPr>
          <w:rFonts w:ascii="Times New Roman" w:hAnsi="Times New Roman" w:cs="Times New Roman"/>
        </w:rPr>
      </w:pPr>
      <w:r>
        <w:rPr>
          <w:rFonts w:ascii="Times New Roman" w:hAnsi="Times New Roman" w:cs="Times New Roman"/>
        </w:rPr>
        <w:t xml:space="preserve">Gminie Cyców: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 Cycowie;</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 Kopinie;</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Barki-Adamów;</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 Bekieszy;</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w Janowicy;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 Świerszczowie;</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 Małkowie;</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 Nowym Stręczynie;</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 Malinówce;</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 Zaróbce;</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w </w:t>
      </w:r>
      <w:proofErr w:type="spellStart"/>
      <w:r>
        <w:rPr>
          <w:rFonts w:ascii="Times New Roman" w:hAnsi="Times New Roman" w:cs="Times New Roman"/>
        </w:rPr>
        <w:t>Głębokiem</w:t>
      </w:r>
      <w:proofErr w:type="spellEnd"/>
      <w:r>
        <w:rPr>
          <w:rFonts w:ascii="Times New Roman" w:hAnsi="Times New Roman" w:cs="Times New Roman"/>
        </w:rPr>
        <w:t>;</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Stawek-Ludwinów;</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Garbatówka Kolonia.</w:t>
      </w:r>
    </w:p>
    <w:p w:rsidR="00DC75FA" w:rsidRDefault="00887D84">
      <w:pPr>
        <w:pStyle w:val="Akapitzlist"/>
        <w:numPr>
          <w:ilvl w:val="0"/>
          <w:numId w:val="34"/>
        </w:numPr>
        <w:spacing w:after="0" w:line="276" w:lineRule="auto"/>
        <w:jc w:val="both"/>
        <w:rPr>
          <w:rFonts w:ascii="Times New Roman" w:hAnsi="Times New Roman" w:cs="Times New Roman"/>
        </w:rPr>
      </w:pPr>
      <w:r>
        <w:rPr>
          <w:rFonts w:ascii="Times New Roman" w:hAnsi="Times New Roman" w:cs="Times New Roman"/>
        </w:rPr>
        <w:t xml:space="preserve">Gminie Ludwin: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„Kaniwola” w Kaniwoli,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„Zezulin” w Zezulinie,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„Grądy” w Grądach,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„Dratów” w Dratowie,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„Dratów- Kolonia” w Dratowie Kolonii,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„Ludwin” w Ludwinie,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„DĄBROWA” w Dąbrowie,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w Zezulinie Drugim,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lastRenderedPageBreak/>
        <w:t>Koło Gospodyń Wiejskich w Czarnym Lesie;</w:t>
      </w:r>
    </w:p>
    <w:p w:rsidR="00DC75FA" w:rsidRDefault="00887D84">
      <w:pPr>
        <w:pStyle w:val="Akapitzlist"/>
        <w:numPr>
          <w:ilvl w:val="0"/>
          <w:numId w:val="34"/>
        </w:numPr>
        <w:spacing w:after="0" w:line="276" w:lineRule="auto"/>
        <w:jc w:val="both"/>
        <w:rPr>
          <w:rFonts w:ascii="Times New Roman" w:hAnsi="Times New Roman" w:cs="Times New Roman"/>
        </w:rPr>
      </w:pPr>
      <w:r>
        <w:rPr>
          <w:rFonts w:ascii="Times New Roman" w:hAnsi="Times New Roman" w:cs="Times New Roman"/>
        </w:rPr>
        <w:t xml:space="preserve">Gminie Milejów: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„Łańcuchów” w </w:t>
      </w:r>
      <w:proofErr w:type="spellStart"/>
      <w:r>
        <w:rPr>
          <w:rFonts w:ascii="Times New Roman" w:hAnsi="Times New Roman" w:cs="Times New Roman"/>
        </w:rPr>
        <w:t>Łańcuchowie</w:t>
      </w:r>
      <w:proofErr w:type="spellEnd"/>
      <w:r>
        <w:rPr>
          <w:rFonts w:ascii="Times New Roman" w:hAnsi="Times New Roman" w:cs="Times New Roman"/>
        </w:rPr>
        <w:t xml:space="preserv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„Zalesianki” w Zalesiu,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„Ewa” w Łysołajach Kolonia,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„Łysołaje Kolonia” w Łysołajach Kolonii,</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t>
      </w:r>
      <w:proofErr w:type="spellStart"/>
      <w:r>
        <w:rPr>
          <w:rFonts w:ascii="Times New Roman" w:hAnsi="Times New Roman" w:cs="Times New Roman"/>
        </w:rPr>
        <w:t>Ostówek</w:t>
      </w:r>
      <w:proofErr w:type="spellEnd"/>
      <w:r>
        <w:rPr>
          <w:rFonts w:ascii="Times New Roman" w:hAnsi="Times New Roman" w:cs="Times New Roman"/>
        </w:rPr>
        <w:t xml:space="preserve"> Kolonia” w Ostrówek Kolonia,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w Cygance,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„Jaszczów” w </w:t>
      </w:r>
      <w:proofErr w:type="spellStart"/>
      <w:r>
        <w:rPr>
          <w:rFonts w:ascii="Times New Roman" w:hAnsi="Times New Roman" w:cs="Times New Roman"/>
        </w:rPr>
        <w:t>Jaszczowie</w:t>
      </w:r>
      <w:proofErr w:type="spellEnd"/>
      <w:r>
        <w:rPr>
          <w:rFonts w:ascii="Times New Roman" w:hAnsi="Times New Roman" w:cs="Times New Roman"/>
        </w:rPr>
        <w:t xml:space="preserv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„Kajetanówka” w Kajetanówce,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„Górne” w Górnym,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„Antoniówki” w Antoniowie,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„Maryniów” w Maryniowie,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t>
      </w:r>
      <w:proofErr w:type="spellStart"/>
      <w:r>
        <w:rPr>
          <w:rFonts w:ascii="Times New Roman" w:hAnsi="Times New Roman" w:cs="Times New Roman"/>
        </w:rPr>
        <w:t>Nadwieprzanki</w:t>
      </w:r>
      <w:proofErr w:type="spellEnd"/>
      <w:r>
        <w:rPr>
          <w:rFonts w:ascii="Times New Roman" w:hAnsi="Times New Roman" w:cs="Times New Roman"/>
        </w:rPr>
        <w:t xml:space="preserve">” w Wólce Łańcuchowskiej,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 xml:space="preserve">Koło Gospodyń Wiejskich w Wólce Bieleckiej,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t>
      </w:r>
      <w:proofErr w:type="spellStart"/>
      <w:r>
        <w:rPr>
          <w:rFonts w:ascii="Times New Roman" w:hAnsi="Times New Roman" w:cs="Times New Roman"/>
        </w:rPr>
        <w:t>Białowianki</w:t>
      </w:r>
      <w:proofErr w:type="spellEnd"/>
      <w:r>
        <w:rPr>
          <w:rFonts w:ascii="Times New Roman" w:hAnsi="Times New Roman" w:cs="Times New Roman"/>
        </w:rPr>
        <w:t xml:space="preserve">” w Białce,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„Lawendowe Pole” w Popławach;</w:t>
      </w:r>
    </w:p>
    <w:p w:rsidR="00DC75FA" w:rsidRDefault="00887D84">
      <w:pPr>
        <w:pStyle w:val="Akapitzlist"/>
        <w:numPr>
          <w:ilvl w:val="0"/>
          <w:numId w:val="34"/>
        </w:numPr>
        <w:spacing w:after="0" w:line="276" w:lineRule="auto"/>
        <w:jc w:val="both"/>
        <w:rPr>
          <w:rFonts w:ascii="Times New Roman" w:hAnsi="Times New Roman" w:cs="Times New Roman"/>
        </w:rPr>
      </w:pPr>
      <w:r>
        <w:rPr>
          <w:rFonts w:ascii="Times New Roman" w:hAnsi="Times New Roman" w:cs="Times New Roman"/>
        </w:rPr>
        <w:t xml:space="preserve">Gminie Puchaczów: </w:t>
      </w:r>
    </w:p>
    <w:p w:rsidR="00DC75FA" w:rsidRDefault="00887D84">
      <w:pPr>
        <w:pStyle w:val="Akapitzlist"/>
        <w:numPr>
          <w:ilvl w:val="1"/>
          <w:numId w:val="34"/>
        </w:numPr>
        <w:spacing w:after="0" w:line="276" w:lineRule="auto"/>
        <w:jc w:val="both"/>
        <w:rPr>
          <w:rFonts w:ascii="Times New Roman" w:hAnsi="Times New Roman" w:cs="Times New Roman"/>
        </w:rPr>
      </w:pPr>
      <w:r>
        <w:t xml:space="preserve">Koło Gospodyń Wiejskich w Ciechankach Kolonia, </w:t>
      </w:r>
    </w:p>
    <w:p w:rsidR="00DC75FA" w:rsidRDefault="00887D84">
      <w:pPr>
        <w:pStyle w:val="Akapitzlist"/>
        <w:numPr>
          <w:ilvl w:val="1"/>
          <w:numId w:val="34"/>
        </w:numPr>
        <w:spacing w:after="0" w:line="276" w:lineRule="auto"/>
        <w:jc w:val="both"/>
        <w:rPr>
          <w:rFonts w:ascii="Times New Roman" w:hAnsi="Times New Roman" w:cs="Times New Roman"/>
        </w:rPr>
      </w:pPr>
      <w:r>
        <w:t xml:space="preserve">Koło Gospodyń Wiejskich w Albertowie, </w:t>
      </w:r>
    </w:p>
    <w:p w:rsidR="00DC75FA" w:rsidRDefault="00887D84">
      <w:pPr>
        <w:pStyle w:val="Akapitzlist"/>
        <w:numPr>
          <w:ilvl w:val="1"/>
          <w:numId w:val="34"/>
        </w:numPr>
        <w:spacing w:after="0" w:line="276" w:lineRule="auto"/>
        <w:jc w:val="both"/>
        <w:rPr>
          <w:rFonts w:ascii="Times New Roman" w:hAnsi="Times New Roman" w:cs="Times New Roman"/>
        </w:rPr>
      </w:pPr>
      <w:r>
        <w:t xml:space="preserve">Koło Gospodyń Wiejskich „Bogdanka” w Bogdance, </w:t>
      </w:r>
    </w:p>
    <w:p w:rsidR="00DC75FA" w:rsidRDefault="00887D84">
      <w:pPr>
        <w:pStyle w:val="Akapitzlist"/>
        <w:numPr>
          <w:ilvl w:val="1"/>
          <w:numId w:val="34"/>
        </w:numPr>
        <w:spacing w:after="0" w:line="276" w:lineRule="auto"/>
        <w:jc w:val="both"/>
        <w:rPr>
          <w:rFonts w:ascii="Times New Roman" w:hAnsi="Times New Roman" w:cs="Times New Roman"/>
        </w:rPr>
      </w:pPr>
      <w:r>
        <w:t xml:space="preserve">Koło Gospodyń Wiejskich „Wesołówka” w Wesołówce, </w:t>
      </w:r>
    </w:p>
    <w:p w:rsidR="00DC75FA" w:rsidRDefault="00887D84">
      <w:pPr>
        <w:pStyle w:val="Akapitzlist"/>
        <w:numPr>
          <w:ilvl w:val="1"/>
          <w:numId w:val="34"/>
        </w:numPr>
        <w:spacing w:after="0" w:line="276" w:lineRule="auto"/>
        <w:jc w:val="both"/>
        <w:rPr>
          <w:rFonts w:ascii="Times New Roman" w:hAnsi="Times New Roman" w:cs="Times New Roman"/>
        </w:rPr>
      </w:pPr>
      <w:r>
        <w:t xml:space="preserve">Koło Gospodyń Wiejskich w Ostrówku, </w:t>
      </w:r>
    </w:p>
    <w:p w:rsidR="00DC75FA" w:rsidRDefault="00887D84">
      <w:pPr>
        <w:pStyle w:val="Akapitzlist"/>
        <w:numPr>
          <w:ilvl w:val="1"/>
          <w:numId w:val="34"/>
        </w:numPr>
        <w:spacing w:after="0" w:line="276" w:lineRule="auto"/>
        <w:jc w:val="both"/>
        <w:rPr>
          <w:rFonts w:ascii="Times New Roman" w:hAnsi="Times New Roman" w:cs="Times New Roman"/>
        </w:rPr>
      </w:pPr>
      <w:r>
        <w:t>Koło Gospodyń Wiejskich „AKTYWNI MIESZKAŃCY” w Puchaczowie;</w:t>
      </w:r>
    </w:p>
    <w:p w:rsidR="00DC75FA" w:rsidRDefault="00887D84">
      <w:pPr>
        <w:pStyle w:val="Akapitzlist"/>
        <w:numPr>
          <w:ilvl w:val="0"/>
          <w:numId w:val="34"/>
        </w:numPr>
        <w:spacing w:after="0" w:line="276" w:lineRule="auto"/>
        <w:jc w:val="both"/>
        <w:rPr>
          <w:rFonts w:ascii="Times New Roman" w:hAnsi="Times New Roman" w:cs="Times New Roman"/>
        </w:rPr>
      </w:pPr>
      <w:r>
        <w:rPr>
          <w:rFonts w:ascii="Times New Roman" w:hAnsi="Times New Roman" w:cs="Times New Roman"/>
        </w:rPr>
        <w:t xml:space="preserve">Gminie Urszulin: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t>
      </w:r>
      <w:proofErr w:type="spellStart"/>
      <w:r>
        <w:rPr>
          <w:rFonts w:ascii="Times New Roman" w:hAnsi="Times New Roman" w:cs="Times New Roman"/>
        </w:rPr>
        <w:t>Bubnowskie</w:t>
      </w:r>
      <w:proofErr w:type="spellEnd"/>
      <w:r>
        <w:rPr>
          <w:rFonts w:ascii="Times New Roman" w:hAnsi="Times New Roman" w:cs="Times New Roman"/>
        </w:rPr>
        <w:t xml:space="preserve"> Baby”, </w:t>
      </w:r>
    </w:p>
    <w:p w:rsidR="00DC75FA" w:rsidRDefault="00887D84">
      <w:pPr>
        <w:pStyle w:val="Akapitzlist"/>
        <w:numPr>
          <w:ilvl w:val="1"/>
          <w:numId w:val="34"/>
        </w:numPr>
        <w:spacing w:after="0" w:line="276" w:lineRule="auto"/>
        <w:jc w:val="both"/>
        <w:rPr>
          <w:rFonts w:ascii="Times New Roman" w:hAnsi="Times New Roman" w:cs="Times New Roman"/>
        </w:rPr>
      </w:pPr>
      <w:r>
        <w:rPr>
          <w:rFonts w:ascii="Times New Roman" w:hAnsi="Times New Roman" w:cs="Times New Roman"/>
        </w:rPr>
        <w:t>Koło Gospodyń Wiejskich „</w:t>
      </w:r>
      <w:proofErr w:type="spellStart"/>
      <w:r>
        <w:rPr>
          <w:rFonts w:ascii="Times New Roman" w:hAnsi="Times New Roman" w:cs="Times New Roman"/>
        </w:rPr>
        <w:t>Wereszczynianki</w:t>
      </w:r>
      <w:proofErr w:type="spellEnd"/>
      <w:r>
        <w:rPr>
          <w:rFonts w:ascii="Times New Roman" w:hAnsi="Times New Roman" w:cs="Times New Roman"/>
        </w:rPr>
        <w:t>”.</w:t>
      </w:r>
    </w:p>
    <w:p w:rsidR="00DC75FA" w:rsidRDefault="00DC75FA">
      <w:pPr>
        <w:spacing w:after="0"/>
        <w:rPr>
          <w:rFonts w:ascii="Times New Roman" w:hAnsi="Times New Roman" w:cs="Times New Roman"/>
          <w:highlight w:val="yellow"/>
        </w:rPr>
      </w:pPr>
    </w:p>
    <w:p w:rsidR="00DC75FA" w:rsidRDefault="00DC75FA">
      <w:pPr>
        <w:spacing w:after="0"/>
        <w:rPr>
          <w:rFonts w:ascii="Times New Roman" w:hAnsi="Times New Roman" w:cs="Times New Roman"/>
          <w:highlight w:val="yellow"/>
        </w:rPr>
      </w:pPr>
    </w:p>
    <w:p w:rsidR="00DC75FA" w:rsidRDefault="00887D84">
      <w:pPr>
        <w:pStyle w:val="Akapitzlist"/>
        <w:numPr>
          <w:ilvl w:val="0"/>
          <w:numId w:val="36"/>
        </w:numPr>
        <w:spacing w:after="0" w:line="276" w:lineRule="auto"/>
        <w:jc w:val="both"/>
        <w:rPr>
          <w:rFonts w:ascii="Times New Roman" w:hAnsi="Times New Roman" w:cs="Times New Roman"/>
          <w:highlight w:val="yellow"/>
        </w:rPr>
      </w:pPr>
      <w:r>
        <w:br w:type="page"/>
      </w:r>
    </w:p>
    <w:p w:rsidR="00DC75FA" w:rsidRDefault="00887D84">
      <w:pPr>
        <w:pStyle w:val="Bezodstpw"/>
        <w:numPr>
          <w:ilvl w:val="1"/>
          <w:numId w:val="25"/>
        </w:numPr>
        <w:spacing w:after="240" w:line="276" w:lineRule="auto"/>
        <w:ind w:left="788" w:hanging="431"/>
        <w:jc w:val="both"/>
        <w:outlineLvl w:val="2"/>
        <w:rPr>
          <w:rFonts w:ascii="Times New Roman" w:hAnsi="Times New Roman" w:cs="Times New Roman"/>
          <w:b/>
          <w:color w:val="5B9BD5" w:themeColor="accent1"/>
          <w:sz w:val="24"/>
          <w:szCs w:val="24"/>
        </w:rPr>
      </w:pPr>
      <w:bookmarkStart w:id="105" w:name="_Toc116896673"/>
      <w:bookmarkStart w:id="106" w:name="_Toc105754711"/>
      <w:r>
        <w:rPr>
          <w:rFonts w:ascii="Times New Roman" w:hAnsi="Times New Roman" w:cs="Times New Roman"/>
          <w:b/>
          <w:color w:val="5B9BD5" w:themeColor="accent1"/>
          <w:sz w:val="24"/>
          <w:szCs w:val="24"/>
        </w:rPr>
        <w:lastRenderedPageBreak/>
        <w:t>SZKOLNICTWO I WYCHOWANIE</w:t>
      </w:r>
      <w:bookmarkEnd w:id="105"/>
      <w:bookmarkEnd w:id="106"/>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107" w:name="_Toc116896674"/>
      <w:r>
        <w:rPr>
          <w:rFonts w:ascii="Times New Roman" w:hAnsi="Times New Roman" w:cs="Times New Roman"/>
          <w:b/>
          <w:color w:val="5B9BD5" w:themeColor="accent1"/>
          <w:sz w:val="24"/>
          <w:szCs w:val="24"/>
        </w:rPr>
        <w:t>Wychowanie przedszkolne i szkolne</w:t>
      </w:r>
      <w:bookmarkEnd w:id="107"/>
    </w:p>
    <w:p w:rsidR="00DC75FA" w:rsidRDefault="00887D84">
      <w:pPr>
        <w:ind w:firstLine="567"/>
        <w:jc w:val="both"/>
        <w:rPr>
          <w:rFonts w:ascii="Times New Roman" w:hAnsi="Times New Roman" w:cs="Times New Roman"/>
        </w:rPr>
      </w:pPr>
      <w:r>
        <w:rPr>
          <w:rFonts w:ascii="Times New Roman" w:hAnsi="Times New Roman" w:cs="Times New Roman"/>
        </w:rPr>
        <w:t>Sieć systemu oświaty i wychowania na terenie Obszaru Funkcjonalnego w analizowanym okresie tworzyły:</w:t>
      </w:r>
    </w:p>
    <w:p w:rsidR="00DC75FA" w:rsidRDefault="00887D84">
      <w:pPr>
        <w:pStyle w:val="Akapitzlist"/>
        <w:numPr>
          <w:ilvl w:val="0"/>
          <w:numId w:val="35"/>
        </w:numPr>
        <w:spacing w:after="120" w:line="276" w:lineRule="auto"/>
        <w:jc w:val="both"/>
        <w:rPr>
          <w:rFonts w:ascii="Times New Roman" w:hAnsi="Times New Roman" w:cs="Times New Roman"/>
          <w:u w:val="single"/>
        </w:rPr>
      </w:pPr>
      <w:r>
        <w:rPr>
          <w:rFonts w:ascii="Times New Roman" w:hAnsi="Times New Roman" w:cs="Times New Roman"/>
          <w:u w:val="single"/>
        </w:rPr>
        <w:t>Przedszkola, punkty przedszkolne i zespoły wychowania przedszkolnego w:</w:t>
      </w:r>
    </w:p>
    <w:p w:rsidR="00DC75FA" w:rsidRDefault="00887D84">
      <w:pPr>
        <w:pStyle w:val="Akapitzlist"/>
        <w:numPr>
          <w:ilvl w:val="1"/>
          <w:numId w:val="35"/>
        </w:numPr>
        <w:spacing w:after="120" w:line="276" w:lineRule="auto"/>
        <w:jc w:val="both"/>
        <w:rPr>
          <w:rFonts w:ascii="Times New Roman" w:hAnsi="Times New Roman" w:cs="Times New Roman"/>
        </w:rPr>
      </w:pPr>
      <w:r>
        <w:rPr>
          <w:rFonts w:ascii="Times New Roman" w:hAnsi="Times New Roman" w:cs="Times New Roman"/>
        </w:rPr>
        <w:t>Gminie Cyców:</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Przedszkole Samorządowe w Cycowie,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Punkt Przedszkolny w Bekieszy,</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Punkt Przedszkolny w Garbatówce,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 xml:space="preserve">Punkt Przedszkolny w </w:t>
      </w:r>
      <w:proofErr w:type="spellStart"/>
      <w:r>
        <w:rPr>
          <w:rFonts w:ascii="Times New Roman" w:hAnsi="Times New Roman" w:cs="Times New Roman"/>
        </w:rPr>
        <w:t>Głębokiem</w:t>
      </w:r>
      <w:proofErr w:type="spellEnd"/>
      <w:r>
        <w:rPr>
          <w:rFonts w:ascii="Times New Roman" w:hAnsi="Times New Roman" w:cs="Times New Roman"/>
        </w:rPr>
        <w:t>,</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Punkt Przedszkolny w Janowicy,</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Punkt Przedszkolny w Kopinie,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Punkt Przedszkolny w Malinówce,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Punkt Przedszkolny w Stawku,</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 xml:space="preserve">Punkt Przedszkolny w Świerszczowie. </w:t>
      </w:r>
    </w:p>
    <w:p w:rsidR="00DC75FA" w:rsidRDefault="00887D84">
      <w:pPr>
        <w:pStyle w:val="Akapitzlist"/>
        <w:numPr>
          <w:ilvl w:val="1"/>
          <w:numId w:val="35"/>
        </w:numPr>
        <w:spacing w:after="120" w:line="276" w:lineRule="auto"/>
        <w:jc w:val="both"/>
        <w:rPr>
          <w:rFonts w:ascii="Times New Roman" w:hAnsi="Times New Roman" w:cs="Times New Roman"/>
        </w:rPr>
      </w:pPr>
      <w:r>
        <w:rPr>
          <w:rFonts w:ascii="Times New Roman" w:hAnsi="Times New Roman" w:cs="Times New Roman"/>
        </w:rPr>
        <w:t>Gminie Ludwin:</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 xml:space="preserve"> Oddział Przedszkolny przy Szkole Podstawowej im. Jana Brzechwy w Dratowie,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Oddział Przedszkolny przy Szkole Podstawowej im. Marii Konopnickiej w Piasecznie,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Oddział Przedszkolny przy Szkole Podstawowej im. ks. Jana Twardowskiego w Zezulinie,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Publiczne Przedszkole w Zespole Szkół nr 1 w Ludwinie;</w:t>
      </w:r>
    </w:p>
    <w:p w:rsidR="00DC75FA" w:rsidRDefault="00887D84">
      <w:pPr>
        <w:pStyle w:val="Akapitzlist"/>
        <w:numPr>
          <w:ilvl w:val="1"/>
          <w:numId w:val="35"/>
        </w:numPr>
        <w:spacing w:after="120" w:line="276" w:lineRule="auto"/>
        <w:jc w:val="both"/>
        <w:rPr>
          <w:rFonts w:ascii="Times New Roman" w:hAnsi="Times New Roman" w:cs="Times New Roman"/>
        </w:rPr>
      </w:pPr>
      <w:r>
        <w:rPr>
          <w:rFonts w:ascii="Times New Roman" w:hAnsi="Times New Roman" w:cs="Times New Roman"/>
        </w:rPr>
        <w:t>Gminie Milejów:</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 xml:space="preserve"> Przedszkole Samorządowe w Milejowie,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Oddział Przedszkolny przy Szkole Podstawowej im. Kornela Makuszyńskiego w </w:t>
      </w:r>
      <w:proofErr w:type="spellStart"/>
      <w:r>
        <w:rPr>
          <w:rFonts w:ascii="Times New Roman" w:hAnsi="Times New Roman" w:cs="Times New Roman"/>
        </w:rPr>
        <w:t>Łańcuchowie</w:t>
      </w:r>
      <w:proofErr w:type="spellEnd"/>
      <w:r>
        <w:rPr>
          <w:rFonts w:ascii="Times New Roman" w:hAnsi="Times New Roman" w:cs="Times New Roman"/>
        </w:rPr>
        <w:t>,</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Oddział Przedszkolny przy Szkole Podstawowej im. Janusza Korczaka w Łysołajach;</w:t>
      </w:r>
    </w:p>
    <w:p w:rsidR="00DC75FA" w:rsidRDefault="00887D84">
      <w:pPr>
        <w:pStyle w:val="Akapitzlist"/>
        <w:numPr>
          <w:ilvl w:val="1"/>
          <w:numId w:val="35"/>
        </w:numPr>
        <w:spacing w:after="120" w:line="276" w:lineRule="auto"/>
        <w:jc w:val="both"/>
        <w:rPr>
          <w:rFonts w:ascii="Times New Roman" w:hAnsi="Times New Roman" w:cs="Times New Roman"/>
        </w:rPr>
      </w:pPr>
      <w:r>
        <w:rPr>
          <w:rFonts w:ascii="Times New Roman" w:hAnsi="Times New Roman" w:cs="Times New Roman"/>
        </w:rPr>
        <w:t>Gminie Puchaczów:</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Przedszkole w Puchaczowie,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Przedszkole w Nadrybiu,</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 xml:space="preserve">Przedszkole w Ciechankach. </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Oddział przedszkolny w Zawadowie,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Oddział przedszkolny w Albertowie,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Oddział przedszkolny w Ciechankach,</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Oddział przedszkolny w Ostrówku,</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Oddział przedszkolny w Nadrybiu.</w:t>
      </w:r>
    </w:p>
    <w:p w:rsidR="00DC75FA" w:rsidRDefault="00887D84">
      <w:pPr>
        <w:pStyle w:val="Akapitzlist"/>
        <w:numPr>
          <w:ilvl w:val="1"/>
          <w:numId w:val="35"/>
        </w:numPr>
        <w:spacing w:after="120" w:line="276" w:lineRule="auto"/>
        <w:jc w:val="both"/>
        <w:rPr>
          <w:rFonts w:ascii="Times New Roman" w:hAnsi="Times New Roman" w:cs="Times New Roman"/>
        </w:rPr>
      </w:pPr>
      <w:r>
        <w:rPr>
          <w:rFonts w:ascii="Times New Roman" w:hAnsi="Times New Roman" w:cs="Times New Roman"/>
        </w:rPr>
        <w:t>Gminie Urszulin:</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 xml:space="preserve"> Przedszkole w Zespole Szkół w Urszulinie.</w:t>
      </w:r>
    </w:p>
    <w:p w:rsidR="00DC75FA" w:rsidRDefault="00887D84">
      <w:pPr>
        <w:pStyle w:val="Akapitzlist"/>
        <w:numPr>
          <w:ilvl w:val="0"/>
          <w:numId w:val="35"/>
        </w:numPr>
        <w:spacing w:after="120" w:line="276" w:lineRule="auto"/>
        <w:jc w:val="both"/>
        <w:rPr>
          <w:rFonts w:ascii="Times New Roman" w:hAnsi="Times New Roman" w:cs="Times New Roman"/>
          <w:u w:val="single"/>
        </w:rPr>
      </w:pPr>
      <w:r>
        <w:rPr>
          <w:rFonts w:ascii="Times New Roman" w:hAnsi="Times New Roman" w:cs="Times New Roman"/>
          <w:u w:val="single"/>
        </w:rPr>
        <w:t xml:space="preserve">Szkoły podstawowe i ponadpodstawowe w: </w:t>
      </w:r>
    </w:p>
    <w:p w:rsidR="00DC75FA" w:rsidRDefault="00887D84">
      <w:pPr>
        <w:pStyle w:val="Akapitzlist"/>
        <w:numPr>
          <w:ilvl w:val="1"/>
          <w:numId w:val="35"/>
        </w:numPr>
        <w:spacing w:after="120" w:line="276" w:lineRule="auto"/>
        <w:jc w:val="both"/>
        <w:rPr>
          <w:rFonts w:ascii="Times New Roman" w:hAnsi="Times New Roman" w:cs="Times New Roman"/>
        </w:rPr>
      </w:pPr>
      <w:r>
        <w:rPr>
          <w:rFonts w:ascii="Times New Roman" w:hAnsi="Times New Roman" w:cs="Times New Roman"/>
        </w:rPr>
        <w:t>Gminie Cyców:</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Zespół Szkół – Szkoła Podstawowa w Cycowie,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Zespół Szkół – Filia Szkoły Podstawowej w Bekieszy,</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Zespół Szkół – Filia Szkoły Podstawowej w Świerszczowie,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Zespół Szkół – Gimnazjum Publiczne w Cycowie (do reformy edukacji w 2019 r.),</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Szkoła Podstawowa w Garbatówce,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 xml:space="preserve">Szkoła Podstawowa w </w:t>
      </w:r>
      <w:proofErr w:type="spellStart"/>
      <w:r>
        <w:rPr>
          <w:rFonts w:ascii="Times New Roman" w:hAnsi="Times New Roman" w:cs="Times New Roman"/>
        </w:rPr>
        <w:t>Głębokiem</w:t>
      </w:r>
      <w:proofErr w:type="spellEnd"/>
      <w:r>
        <w:rPr>
          <w:rFonts w:ascii="Times New Roman" w:hAnsi="Times New Roman" w:cs="Times New Roman"/>
        </w:rPr>
        <w:t>,</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Szkoła Podstawowa w Malinówce,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Szkoła Podstawowa w Stawku.</w:t>
      </w:r>
    </w:p>
    <w:p w:rsidR="00DC75FA" w:rsidRDefault="00887D84">
      <w:pPr>
        <w:pStyle w:val="Akapitzlist"/>
        <w:numPr>
          <w:ilvl w:val="1"/>
          <w:numId w:val="35"/>
        </w:numPr>
        <w:spacing w:after="120" w:line="276" w:lineRule="auto"/>
        <w:jc w:val="both"/>
        <w:rPr>
          <w:rFonts w:ascii="Times New Roman" w:hAnsi="Times New Roman" w:cs="Times New Roman"/>
        </w:rPr>
      </w:pPr>
      <w:r>
        <w:rPr>
          <w:rFonts w:ascii="Times New Roman" w:hAnsi="Times New Roman" w:cs="Times New Roman"/>
        </w:rPr>
        <w:lastRenderedPageBreak/>
        <w:t>Gminie Ludwin:</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Szkoła Podstawowa im. Jana Brzechwy w Dratowie,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Szkoła Podstawowa im. Marii Konopnickiej w Piasecznie,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Szkoła Podstawowa im. ks. Jana Twardowskiego w Zezulinie,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Szkoła Podstawowa im. Zgrupowania Partyzanckiego „Jeszcze Polska nie zginęła”, będąca częścią Zespołu Szkół nr 1 w Ludwinie,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Gimnazjum Publiczne w Ludwinie (do reformy edukacji w 2019 r.).</w:t>
      </w:r>
    </w:p>
    <w:p w:rsidR="00DC75FA" w:rsidRDefault="00887D84">
      <w:pPr>
        <w:pStyle w:val="Akapitzlist"/>
        <w:numPr>
          <w:ilvl w:val="1"/>
          <w:numId w:val="35"/>
        </w:numPr>
        <w:spacing w:after="120" w:line="276" w:lineRule="auto"/>
        <w:jc w:val="both"/>
        <w:rPr>
          <w:rFonts w:ascii="Times New Roman" w:hAnsi="Times New Roman" w:cs="Times New Roman"/>
        </w:rPr>
      </w:pPr>
      <w:r>
        <w:rPr>
          <w:rFonts w:ascii="Times New Roman" w:hAnsi="Times New Roman" w:cs="Times New Roman"/>
        </w:rPr>
        <w:t>Gminie Milejów:</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 xml:space="preserve"> Szkoła Podstawowa im. Stanisława Konarskiego w Milejowie,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 xml:space="preserve">Szkoła Podstawowa im. Natalii </w:t>
      </w:r>
      <w:proofErr w:type="spellStart"/>
      <w:r>
        <w:rPr>
          <w:rFonts w:ascii="Times New Roman" w:hAnsi="Times New Roman" w:cs="Times New Roman"/>
        </w:rPr>
        <w:t>Nekraszowej</w:t>
      </w:r>
      <w:proofErr w:type="spellEnd"/>
      <w:r>
        <w:rPr>
          <w:rFonts w:ascii="Times New Roman" w:hAnsi="Times New Roman" w:cs="Times New Roman"/>
        </w:rPr>
        <w:t xml:space="preserve"> w </w:t>
      </w:r>
      <w:proofErr w:type="spellStart"/>
      <w:r>
        <w:rPr>
          <w:rFonts w:ascii="Times New Roman" w:hAnsi="Times New Roman" w:cs="Times New Roman"/>
        </w:rPr>
        <w:t>Jaszczowie</w:t>
      </w:r>
      <w:proofErr w:type="spellEnd"/>
      <w:r>
        <w:rPr>
          <w:rFonts w:ascii="Times New Roman" w:hAnsi="Times New Roman" w:cs="Times New Roman"/>
        </w:rPr>
        <w:t>,</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 xml:space="preserve">Szkoła Podstawowa im. Kornela Makuszyńskiego w </w:t>
      </w:r>
      <w:proofErr w:type="spellStart"/>
      <w:r>
        <w:rPr>
          <w:rFonts w:ascii="Times New Roman" w:hAnsi="Times New Roman" w:cs="Times New Roman"/>
        </w:rPr>
        <w:t>Łańcuchowie</w:t>
      </w:r>
      <w:proofErr w:type="spellEnd"/>
      <w:r>
        <w:rPr>
          <w:rFonts w:ascii="Times New Roman" w:hAnsi="Times New Roman" w:cs="Times New Roman"/>
        </w:rPr>
        <w:t>,</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Szkoła Podstawowa im. Janusza Korczaka w Łysołajach.</w:t>
      </w:r>
    </w:p>
    <w:p w:rsidR="00DC75FA" w:rsidRDefault="00887D84">
      <w:pPr>
        <w:pStyle w:val="Akapitzlist"/>
        <w:numPr>
          <w:ilvl w:val="1"/>
          <w:numId w:val="35"/>
        </w:numPr>
        <w:spacing w:after="120" w:line="276" w:lineRule="auto"/>
        <w:jc w:val="both"/>
        <w:rPr>
          <w:rFonts w:ascii="Times New Roman" w:hAnsi="Times New Roman" w:cs="Times New Roman"/>
        </w:rPr>
      </w:pPr>
      <w:r>
        <w:rPr>
          <w:rFonts w:ascii="Times New Roman" w:hAnsi="Times New Roman" w:cs="Times New Roman"/>
        </w:rPr>
        <w:t>Gminie Puchaczów:</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Zespół Szkół w Puchaczowie:</w:t>
      </w:r>
    </w:p>
    <w:p w:rsidR="00DC75FA" w:rsidRDefault="00887D84">
      <w:pPr>
        <w:pStyle w:val="Akapitzlist"/>
        <w:numPr>
          <w:ilvl w:val="3"/>
          <w:numId w:val="39"/>
        </w:numPr>
        <w:spacing w:after="120" w:line="276" w:lineRule="auto"/>
        <w:jc w:val="both"/>
        <w:rPr>
          <w:rFonts w:ascii="Times New Roman" w:hAnsi="Times New Roman" w:cs="Times New Roman"/>
        </w:rPr>
      </w:pPr>
      <w:r>
        <w:rPr>
          <w:rFonts w:ascii="Times New Roman" w:hAnsi="Times New Roman" w:cs="Times New Roman"/>
        </w:rPr>
        <w:t>Liceum Ogólnokształcące w Puchaczowie,</w:t>
      </w:r>
    </w:p>
    <w:p w:rsidR="00DC75FA" w:rsidRDefault="00887D84">
      <w:pPr>
        <w:pStyle w:val="Akapitzlist"/>
        <w:numPr>
          <w:ilvl w:val="3"/>
          <w:numId w:val="39"/>
        </w:numPr>
        <w:spacing w:after="120" w:line="276" w:lineRule="auto"/>
        <w:jc w:val="both"/>
        <w:rPr>
          <w:rFonts w:ascii="Times New Roman" w:hAnsi="Times New Roman" w:cs="Times New Roman"/>
        </w:rPr>
      </w:pPr>
      <w:r>
        <w:rPr>
          <w:rFonts w:ascii="Times New Roman" w:hAnsi="Times New Roman" w:cs="Times New Roman"/>
        </w:rPr>
        <w:t>Gimnazjum im. Jana Pawła II w Puchaczowie (do reformy edukacji w 2019 r.),</w:t>
      </w:r>
    </w:p>
    <w:p w:rsidR="00DC75FA" w:rsidRDefault="00887D84">
      <w:pPr>
        <w:pStyle w:val="Akapitzlist"/>
        <w:numPr>
          <w:ilvl w:val="3"/>
          <w:numId w:val="39"/>
        </w:numPr>
        <w:spacing w:after="120" w:line="276" w:lineRule="auto"/>
        <w:jc w:val="both"/>
        <w:rPr>
          <w:rFonts w:ascii="Times New Roman" w:hAnsi="Times New Roman" w:cs="Times New Roman"/>
        </w:rPr>
      </w:pPr>
      <w:r>
        <w:rPr>
          <w:rFonts w:ascii="Times New Roman" w:hAnsi="Times New Roman" w:cs="Times New Roman"/>
        </w:rPr>
        <w:t>Szkoła Podstawowa im. Adama Mickiewicza w Puchaczowie,</w:t>
      </w:r>
    </w:p>
    <w:p w:rsidR="00DC75FA" w:rsidRDefault="00887D84">
      <w:pPr>
        <w:pStyle w:val="Akapitzlist"/>
        <w:numPr>
          <w:ilvl w:val="3"/>
          <w:numId w:val="39"/>
        </w:numPr>
        <w:spacing w:after="120" w:line="276" w:lineRule="auto"/>
        <w:jc w:val="both"/>
        <w:rPr>
          <w:rFonts w:ascii="Times New Roman" w:hAnsi="Times New Roman" w:cs="Times New Roman"/>
        </w:rPr>
      </w:pPr>
      <w:r>
        <w:rPr>
          <w:rFonts w:ascii="Times New Roman" w:hAnsi="Times New Roman" w:cs="Times New Roman"/>
        </w:rPr>
        <w:t>Szkoła Filialna w Albertowie;</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Zespół Szkolno-Przedszkolny w Nadrybiu:</w:t>
      </w:r>
    </w:p>
    <w:p w:rsidR="00DC75FA" w:rsidRDefault="00887D84">
      <w:pPr>
        <w:pStyle w:val="Akapitzlist"/>
        <w:numPr>
          <w:ilvl w:val="3"/>
          <w:numId w:val="40"/>
        </w:numPr>
        <w:spacing w:after="120" w:line="276" w:lineRule="auto"/>
        <w:jc w:val="both"/>
        <w:rPr>
          <w:rFonts w:ascii="Times New Roman" w:hAnsi="Times New Roman" w:cs="Times New Roman"/>
        </w:rPr>
      </w:pPr>
      <w:r>
        <w:rPr>
          <w:rFonts w:ascii="Times New Roman" w:hAnsi="Times New Roman" w:cs="Times New Roman"/>
        </w:rPr>
        <w:t>Szkoła Podstawowa im. Jana i Kazimierza Bogdanowiczów w Nadrybiu,</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Zespół Szkolno-Przedszkolny w Ostrówku:</w:t>
      </w:r>
    </w:p>
    <w:p w:rsidR="00DC75FA" w:rsidRDefault="00887D84">
      <w:pPr>
        <w:pStyle w:val="Akapitzlist"/>
        <w:numPr>
          <w:ilvl w:val="3"/>
          <w:numId w:val="41"/>
        </w:numPr>
        <w:spacing w:after="120" w:line="276" w:lineRule="auto"/>
        <w:jc w:val="both"/>
        <w:rPr>
          <w:rFonts w:ascii="Times New Roman" w:hAnsi="Times New Roman" w:cs="Times New Roman"/>
        </w:rPr>
      </w:pPr>
      <w:r>
        <w:rPr>
          <w:rFonts w:ascii="Times New Roman" w:hAnsi="Times New Roman" w:cs="Times New Roman"/>
        </w:rPr>
        <w:t>Szkoła Podstawowa im. Bohaterów Armii Krajowej w Ostrówku,</w:t>
      </w:r>
    </w:p>
    <w:p w:rsidR="00DC75FA" w:rsidRDefault="00887D84">
      <w:pPr>
        <w:pStyle w:val="Akapitzlist"/>
        <w:numPr>
          <w:ilvl w:val="3"/>
          <w:numId w:val="41"/>
        </w:numPr>
        <w:spacing w:after="120" w:line="276" w:lineRule="auto"/>
        <w:jc w:val="both"/>
        <w:rPr>
          <w:rFonts w:ascii="Times New Roman" w:hAnsi="Times New Roman" w:cs="Times New Roman"/>
        </w:rPr>
      </w:pPr>
      <w:r>
        <w:rPr>
          <w:rFonts w:ascii="Times New Roman" w:hAnsi="Times New Roman" w:cs="Times New Roman"/>
        </w:rPr>
        <w:t>Szkoła Filialna w Zawadowie,</w:t>
      </w:r>
    </w:p>
    <w:p w:rsidR="00DC75FA" w:rsidRDefault="00887D84">
      <w:pPr>
        <w:pStyle w:val="Akapitzlist"/>
        <w:numPr>
          <w:ilvl w:val="1"/>
          <w:numId w:val="35"/>
        </w:numPr>
        <w:spacing w:after="120" w:line="276" w:lineRule="auto"/>
        <w:jc w:val="both"/>
        <w:rPr>
          <w:rFonts w:ascii="Times New Roman" w:hAnsi="Times New Roman" w:cs="Times New Roman"/>
        </w:rPr>
      </w:pPr>
      <w:r>
        <w:rPr>
          <w:rFonts w:ascii="Times New Roman" w:hAnsi="Times New Roman" w:cs="Times New Roman"/>
        </w:rPr>
        <w:t>Gminie Urszulin:</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Szkoła Podstawowa w Woli Wereszczyńskiej,</w:t>
      </w:r>
    </w:p>
    <w:p w:rsidR="00DC75FA" w:rsidRDefault="00887D84">
      <w:pPr>
        <w:pStyle w:val="Akapitzlist"/>
        <w:numPr>
          <w:ilvl w:val="2"/>
          <w:numId w:val="35"/>
        </w:numPr>
        <w:spacing w:after="120" w:line="276" w:lineRule="auto"/>
        <w:jc w:val="both"/>
        <w:rPr>
          <w:rFonts w:ascii="Times New Roman" w:hAnsi="Times New Roman" w:cs="Times New Roman"/>
        </w:rPr>
      </w:pPr>
      <w:r>
        <w:rPr>
          <w:rFonts w:ascii="Times New Roman" w:hAnsi="Times New Roman" w:cs="Times New Roman"/>
        </w:rPr>
        <w:t>Zespół Szkół w Urszulinie:</w:t>
      </w:r>
    </w:p>
    <w:p w:rsidR="00DC75FA" w:rsidRDefault="00887D84">
      <w:pPr>
        <w:pStyle w:val="Akapitzlist"/>
        <w:numPr>
          <w:ilvl w:val="3"/>
          <w:numId w:val="42"/>
        </w:numPr>
        <w:spacing w:after="120" w:line="276" w:lineRule="auto"/>
        <w:jc w:val="both"/>
        <w:rPr>
          <w:rFonts w:ascii="Times New Roman" w:hAnsi="Times New Roman" w:cs="Times New Roman"/>
        </w:rPr>
      </w:pPr>
      <w:r>
        <w:rPr>
          <w:rFonts w:ascii="Times New Roman" w:hAnsi="Times New Roman" w:cs="Times New Roman"/>
        </w:rPr>
        <w:t>Szkoła Podstawowa im. prof. A. Lityńskiego w Urszulinie,</w:t>
      </w:r>
    </w:p>
    <w:p w:rsidR="00DC75FA" w:rsidRDefault="00887D84">
      <w:pPr>
        <w:pStyle w:val="Akapitzlist"/>
        <w:numPr>
          <w:ilvl w:val="3"/>
          <w:numId w:val="42"/>
        </w:numPr>
        <w:spacing w:after="120" w:line="276" w:lineRule="auto"/>
        <w:jc w:val="both"/>
        <w:rPr>
          <w:rFonts w:ascii="Times New Roman" w:hAnsi="Times New Roman" w:cs="Times New Roman"/>
        </w:rPr>
      </w:pPr>
      <w:r>
        <w:rPr>
          <w:rFonts w:ascii="Times New Roman" w:hAnsi="Times New Roman" w:cs="Times New Roman"/>
        </w:rPr>
        <w:t>Gimnazjum Publiczne (do reformy edukacji w 2019 r.),</w:t>
      </w:r>
    </w:p>
    <w:p w:rsidR="00DC75FA" w:rsidRDefault="00887D84">
      <w:pPr>
        <w:pStyle w:val="Akapitzlist"/>
        <w:numPr>
          <w:ilvl w:val="3"/>
          <w:numId w:val="42"/>
        </w:numPr>
        <w:spacing w:after="120" w:line="276" w:lineRule="auto"/>
        <w:jc w:val="both"/>
        <w:rPr>
          <w:rFonts w:ascii="Times New Roman" w:hAnsi="Times New Roman" w:cs="Times New Roman"/>
        </w:rPr>
      </w:pPr>
      <w:r>
        <w:rPr>
          <w:rFonts w:ascii="Times New Roman" w:hAnsi="Times New Roman" w:cs="Times New Roman"/>
        </w:rPr>
        <w:t>Liceum Ogólnokształcące.</w:t>
      </w:r>
      <w:bookmarkStart w:id="108" w:name="_Hlk33618467"/>
      <w:bookmarkEnd w:id="108"/>
    </w:p>
    <w:p w:rsidR="00DC75FA" w:rsidRDefault="00887D84">
      <w:pPr>
        <w:ind w:firstLine="567"/>
        <w:jc w:val="both"/>
        <w:rPr>
          <w:rFonts w:ascii="Times New Roman" w:hAnsi="Times New Roman" w:cs="Times New Roman"/>
        </w:rPr>
      </w:pPr>
      <w:r>
        <w:rPr>
          <w:rFonts w:ascii="Times New Roman" w:hAnsi="Times New Roman" w:cs="Times New Roman"/>
        </w:rPr>
        <w:t xml:space="preserve">W oparciu o analizę danych na przestrzeni lat 2015-2019 można zauważyć, że łączna liczba uczniów w przedszkolach i szkołach na obszarze OF systematycznie rośnie (poza rokiem 2016, w którym nastąpił nieznaczny spadek liczby uczniów). W ostatnim roku można analizy ilość uczniów wynosiła 4 126 osób (+ 21,5 w stosunku do 2015 r.) Jest to pozytywne zjawisko, w odniesieniu do ogólnopolskiego niżu demograficznego. </w:t>
      </w:r>
    </w:p>
    <w:p w:rsidR="00DC75FA" w:rsidRDefault="00887D84">
      <w:pPr>
        <w:ind w:firstLine="567"/>
        <w:jc w:val="both"/>
        <w:rPr>
          <w:rFonts w:ascii="Times New Roman" w:hAnsi="Times New Roman" w:cs="Times New Roman"/>
        </w:rPr>
      </w:pPr>
      <w:r>
        <w:rPr>
          <w:rFonts w:ascii="Times New Roman" w:hAnsi="Times New Roman" w:cs="Times New Roman"/>
        </w:rPr>
        <w:t>Liczba uczniów w poszczególnych jednostkach samorządu na terenie OF w latach 2015–2019 została przedstawiona w poniższych tabelach. W zestawieniu uwzględniono ogólną liczbę uczniów w przedszkolach oraz szkołach podstawowych prowadzonych przez jednostki samorządu gminnego oraz samorządu powiatowego.</w:t>
      </w:r>
    </w:p>
    <w:p w:rsidR="00DC75FA" w:rsidRDefault="00887D84">
      <w:pPr>
        <w:ind w:firstLine="567"/>
        <w:jc w:val="both"/>
        <w:rPr>
          <w:rFonts w:ascii="Times New Roman" w:hAnsi="Times New Roman" w:cs="Times New Roman"/>
          <w:highlight w:val="yellow"/>
        </w:rPr>
      </w:pPr>
      <w:r>
        <w:rPr>
          <w:rFonts w:ascii="Times New Roman" w:hAnsi="Times New Roman" w:cs="Times New Roman"/>
        </w:rPr>
        <w:t>W analizowanym okresie liczba uczniów w przedszkolach, oddziałach przedszkolnych i punktach przedszkolnych w gminach na terenie OF systematycznie rośnie. W 2019 r. było ich 1 259, co stanowi wzrost o 25,8% w porównaniu do 2015 r.</w:t>
      </w:r>
      <w:r>
        <w:rPr>
          <w:rFonts w:ascii="Times New Roman" w:hAnsi="Times New Roman" w:cs="Times New Roman"/>
          <w:highlight w:val="yellow"/>
        </w:rPr>
        <w:t xml:space="preserve"> </w:t>
      </w:r>
    </w:p>
    <w:p w:rsidR="00DC75FA" w:rsidRDefault="00887D84">
      <w:pPr>
        <w:pStyle w:val="aaapodpis"/>
      </w:pPr>
      <w:bookmarkStart w:id="109" w:name="_Toc75899494"/>
      <w:r>
        <w:lastRenderedPageBreak/>
        <w:t>Wykres 29: Łączna liczba uczniów w przedszkolach, oddziałach przedszkolnych oraz punktach przedszkolnych na terenie OF</w:t>
      </w:r>
      <w:bookmarkEnd w:id="109"/>
    </w:p>
    <w:p w:rsidR="00DC75FA" w:rsidRDefault="00887D84">
      <w:pPr>
        <w:pStyle w:val="aaapodpis"/>
        <w:spacing w:line="276" w:lineRule="auto"/>
      </w:pPr>
      <w:r>
        <w:rPr>
          <w:noProof/>
          <w:lang w:eastAsia="pl-PL"/>
        </w:rPr>
        <w:drawing>
          <wp:inline distT="0" distB="0" distL="0" distR="0">
            <wp:extent cx="6119495" cy="1078230"/>
            <wp:effectExtent l="0" t="0" r="0" b="0"/>
            <wp:docPr id="78" name="Wykres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highlight w:val="yellow"/>
        </w:rPr>
      </w:pPr>
      <w:r>
        <w:rPr>
          <w:rFonts w:ascii="Times New Roman" w:hAnsi="Times New Roman" w:cs="Times New Roman"/>
        </w:rPr>
        <w:t>W Gminie Cyców w 2019 r. w przedszkolach uczyło się 340 uczniów co było wzrostem o 43,5% w porównaniu do roku 2015. Jest to największy wzrost ze wszystkich gmin należących do OF. Niewiele mniejszy wzrost zanotowano w Gminie Ludwin. Ze 139 przedszkolaków w 2015 r., ich liczba w 2019 r. wzrosła do 197. Tylko o 3,4% wzrosła liczba uczniów przedszkoli w Gminie Milejów. W 2019 r. uczyło się 271 uczniów i jest to wynik gorszy niż w poprzednich dwóch latach. O 1/5 wzrosłą liczba uczniów przedszkoli w Gminie Puchaczów a o 1/3 w Gminie Urszulin.</w:t>
      </w:r>
    </w:p>
    <w:p w:rsidR="00DC75FA" w:rsidRDefault="00887D84">
      <w:pPr>
        <w:pStyle w:val="aaapodpis"/>
        <w:spacing w:line="276" w:lineRule="auto"/>
      </w:pPr>
      <w:bookmarkStart w:id="110" w:name="_Toc75899287"/>
      <w:bookmarkStart w:id="111" w:name="_Toc54643226"/>
      <w:r>
        <w:t>Tabela 9: Liczba uczniów w przedszkolach, oddziałach przedszkolnych oraz punktach przedszkolnych w poszczególnych JST na terenie OF</w:t>
      </w:r>
      <w:bookmarkEnd w:id="110"/>
      <w:bookmarkEnd w:id="111"/>
    </w:p>
    <w:tbl>
      <w:tblPr>
        <w:tblStyle w:val="Jasnecieniowanieakcent11"/>
        <w:tblW w:w="5000" w:type="pct"/>
        <w:tblLook w:val="04A0" w:firstRow="1" w:lastRow="0" w:firstColumn="1" w:lastColumn="0" w:noHBand="0" w:noVBand="1"/>
      </w:tblPr>
      <w:tblGrid>
        <w:gridCol w:w="2377"/>
        <w:gridCol w:w="1495"/>
        <w:gridCol w:w="1497"/>
        <w:gridCol w:w="1497"/>
        <w:gridCol w:w="1494"/>
        <w:gridCol w:w="1494"/>
      </w:tblGrid>
      <w:tr w:rsidR="00DC75FA" w:rsidTr="00DC75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rPr>
                <w:rFonts w:asciiTheme="majorHAnsi" w:hAnsiTheme="majorHAnsi" w:cstheme="majorHAnsi"/>
                <w:bCs w:val="0"/>
                <w:sz w:val="20"/>
                <w:szCs w:val="20"/>
              </w:rPr>
            </w:pPr>
            <w:r>
              <w:rPr>
                <w:rFonts w:asciiTheme="majorHAnsi" w:hAnsiTheme="majorHAnsi" w:cstheme="majorHAnsi"/>
                <w:sz w:val="20"/>
                <w:szCs w:val="20"/>
              </w:rPr>
              <w:t> </w:t>
            </w:r>
          </w:p>
        </w:tc>
        <w:tc>
          <w:tcPr>
            <w:tcW w:w="1462"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2015</w:t>
            </w:r>
          </w:p>
        </w:tc>
        <w:tc>
          <w:tcPr>
            <w:tcW w:w="146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2016</w:t>
            </w:r>
          </w:p>
        </w:tc>
        <w:tc>
          <w:tcPr>
            <w:tcW w:w="146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2017</w:t>
            </w:r>
          </w:p>
        </w:tc>
        <w:tc>
          <w:tcPr>
            <w:tcW w:w="1461"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2018</w:t>
            </w:r>
          </w:p>
        </w:tc>
        <w:tc>
          <w:tcPr>
            <w:tcW w:w="1461" w:type="dxa"/>
            <w:tcBorders>
              <w:top w:val="single" w:sz="4" w:space="0" w:color="5B9BD5"/>
              <w:left w:val="single" w:sz="4" w:space="0" w:color="5B9BD5"/>
              <w:bottom w:val="single" w:sz="4" w:space="0" w:color="5B9BD5"/>
              <w:right w:val="single" w:sz="4" w:space="0" w:color="5B9BD5"/>
            </w:tcBorders>
            <w:shd w:val="clear" w:color="auto" w:fill="auto"/>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Zmiana</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5B9BD5"/>
              <w:left w:val="single" w:sz="4" w:space="0" w:color="5B9BD5"/>
              <w:bottom w:val="nil"/>
            </w:tcBorders>
            <w:vAlign w:val="bottom"/>
          </w:tcPr>
          <w:p w:rsidR="00DC75FA" w:rsidRDefault="00887D84">
            <w:pPr>
              <w:spacing w:after="0" w:line="240" w:lineRule="auto"/>
              <w:jc w:val="center"/>
              <w:rPr>
                <w:rFonts w:asciiTheme="majorHAnsi" w:hAnsiTheme="majorHAnsi" w:cstheme="majorHAnsi"/>
                <w:b w:val="0"/>
                <w:bCs w:val="0"/>
                <w:sz w:val="20"/>
                <w:szCs w:val="20"/>
              </w:rPr>
            </w:pPr>
            <w:r>
              <w:rPr>
                <w:rFonts w:asciiTheme="majorHAnsi" w:hAnsiTheme="majorHAnsi" w:cstheme="majorHAnsi"/>
                <w:sz w:val="20"/>
                <w:szCs w:val="20"/>
              </w:rPr>
              <w:t>Cyców</w:t>
            </w:r>
          </w:p>
        </w:tc>
        <w:tc>
          <w:tcPr>
            <w:tcW w:w="1462"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237</w:t>
            </w:r>
          </w:p>
        </w:tc>
        <w:tc>
          <w:tcPr>
            <w:tcW w:w="1464"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300</w:t>
            </w:r>
          </w:p>
        </w:tc>
        <w:tc>
          <w:tcPr>
            <w:tcW w:w="1464"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279</w:t>
            </w:r>
          </w:p>
        </w:tc>
        <w:tc>
          <w:tcPr>
            <w:tcW w:w="1461" w:type="dxa"/>
            <w:tcBorders>
              <w:top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340</w:t>
            </w:r>
          </w:p>
        </w:tc>
        <w:tc>
          <w:tcPr>
            <w:tcW w:w="1461" w:type="dxa"/>
            <w:tcBorders>
              <w:top w:val="single" w:sz="4" w:space="0" w:color="5B9BD5"/>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43,5%</w:t>
            </w:r>
          </w:p>
        </w:tc>
      </w:tr>
      <w:tr w:rsidR="00DC75FA" w:rsidTr="00DC75FA">
        <w:tc>
          <w:tcPr>
            <w:cnfStyle w:val="001000000000" w:firstRow="0" w:lastRow="0" w:firstColumn="1" w:lastColumn="0" w:oddVBand="0" w:evenVBand="0" w:oddHBand="0" w:evenHBand="0" w:firstRowFirstColumn="0" w:firstRowLastColumn="0" w:lastRowFirstColumn="0" w:lastRowLastColumn="0"/>
            <w:tcW w:w="2325"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hAnsiTheme="majorHAnsi" w:cstheme="majorHAnsi"/>
                <w:b w:val="0"/>
                <w:bCs w:val="0"/>
                <w:sz w:val="20"/>
                <w:szCs w:val="20"/>
              </w:rPr>
            </w:pPr>
            <w:r>
              <w:rPr>
                <w:rFonts w:asciiTheme="majorHAnsi" w:hAnsiTheme="majorHAnsi" w:cstheme="majorHAnsi"/>
                <w:sz w:val="20"/>
                <w:szCs w:val="20"/>
              </w:rPr>
              <w:t>Ludwin</w:t>
            </w:r>
          </w:p>
        </w:tc>
        <w:tc>
          <w:tcPr>
            <w:tcW w:w="146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139</w:t>
            </w:r>
          </w:p>
        </w:tc>
        <w:tc>
          <w:tcPr>
            <w:tcW w:w="146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167</w:t>
            </w:r>
          </w:p>
        </w:tc>
        <w:tc>
          <w:tcPr>
            <w:tcW w:w="146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180</w:t>
            </w:r>
          </w:p>
        </w:tc>
        <w:tc>
          <w:tcPr>
            <w:tcW w:w="1461"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197</w:t>
            </w:r>
          </w:p>
        </w:tc>
        <w:tc>
          <w:tcPr>
            <w:tcW w:w="1461"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41,7%</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Borders>
              <w:top w:val="nil"/>
              <w:left w:val="single" w:sz="4" w:space="0" w:color="5B9BD5"/>
              <w:bottom w:val="nil"/>
            </w:tcBorders>
            <w:vAlign w:val="bottom"/>
          </w:tcPr>
          <w:p w:rsidR="00DC75FA" w:rsidRDefault="00887D84">
            <w:pPr>
              <w:spacing w:after="0" w:line="240" w:lineRule="auto"/>
              <w:jc w:val="center"/>
              <w:rPr>
                <w:rFonts w:asciiTheme="majorHAnsi" w:hAnsiTheme="majorHAnsi" w:cstheme="majorHAnsi"/>
                <w:b w:val="0"/>
                <w:bCs w:val="0"/>
                <w:sz w:val="20"/>
                <w:szCs w:val="20"/>
              </w:rPr>
            </w:pPr>
            <w:r>
              <w:rPr>
                <w:rFonts w:asciiTheme="majorHAnsi" w:hAnsiTheme="majorHAnsi" w:cstheme="majorHAnsi"/>
                <w:sz w:val="20"/>
                <w:szCs w:val="20"/>
              </w:rPr>
              <w:t xml:space="preserve">Milejów </w:t>
            </w:r>
          </w:p>
        </w:tc>
        <w:tc>
          <w:tcPr>
            <w:tcW w:w="146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262</w:t>
            </w:r>
          </w:p>
        </w:tc>
        <w:tc>
          <w:tcPr>
            <w:tcW w:w="1464"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297</w:t>
            </w:r>
          </w:p>
        </w:tc>
        <w:tc>
          <w:tcPr>
            <w:tcW w:w="1464"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295</w:t>
            </w:r>
          </w:p>
        </w:tc>
        <w:tc>
          <w:tcPr>
            <w:tcW w:w="1461"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271</w:t>
            </w:r>
          </w:p>
        </w:tc>
        <w:tc>
          <w:tcPr>
            <w:tcW w:w="1461"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3,4%</w:t>
            </w:r>
          </w:p>
        </w:tc>
      </w:tr>
      <w:tr w:rsidR="00DC75FA" w:rsidTr="00DC75FA">
        <w:tc>
          <w:tcPr>
            <w:cnfStyle w:val="001000000000" w:firstRow="0" w:lastRow="0" w:firstColumn="1" w:lastColumn="0" w:oddVBand="0" w:evenVBand="0" w:oddHBand="0" w:evenHBand="0" w:firstRowFirstColumn="0" w:firstRowLastColumn="0" w:lastRowFirstColumn="0" w:lastRowLastColumn="0"/>
            <w:tcW w:w="2325"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hAnsiTheme="majorHAnsi" w:cstheme="majorHAnsi"/>
                <w:b w:val="0"/>
                <w:bCs w:val="0"/>
                <w:sz w:val="20"/>
                <w:szCs w:val="20"/>
              </w:rPr>
            </w:pPr>
            <w:r>
              <w:rPr>
                <w:rFonts w:asciiTheme="majorHAnsi" w:hAnsiTheme="majorHAnsi" w:cstheme="majorHAnsi"/>
                <w:sz w:val="20"/>
                <w:szCs w:val="20"/>
              </w:rPr>
              <w:t xml:space="preserve">Puchaczów </w:t>
            </w:r>
          </w:p>
        </w:tc>
        <w:tc>
          <w:tcPr>
            <w:tcW w:w="146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251</w:t>
            </w:r>
          </w:p>
        </w:tc>
        <w:tc>
          <w:tcPr>
            <w:tcW w:w="146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279</w:t>
            </w:r>
          </w:p>
        </w:tc>
        <w:tc>
          <w:tcPr>
            <w:tcW w:w="146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296</w:t>
            </w:r>
          </w:p>
        </w:tc>
        <w:tc>
          <w:tcPr>
            <w:tcW w:w="1461"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302</w:t>
            </w:r>
          </w:p>
        </w:tc>
        <w:tc>
          <w:tcPr>
            <w:tcW w:w="1461"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20,3%</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Borders>
              <w:top w:val="nil"/>
              <w:left w:val="single" w:sz="4" w:space="0" w:color="5B9BD5"/>
              <w:bottom w:val="single" w:sz="4" w:space="0" w:color="5B9BD5"/>
            </w:tcBorders>
            <w:vAlign w:val="bottom"/>
          </w:tcPr>
          <w:p w:rsidR="00DC75FA" w:rsidRDefault="00887D84">
            <w:pPr>
              <w:spacing w:after="0" w:line="240" w:lineRule="auto"/>
              <w:jc w:val="center"/>
              <w:rPr>
                <w:rFonts w:asciiTheme="majorHAnsi" w:hAnsiTheme="majorHAnsi" w:cstheme="majorHAnsi"/>
                <w:b w:val="0"/>
                <w:bCs w:val="0"/>
                <w:sz w:val="20"/>
                <w:szCs w:val="20"/>
              </w:rPr>
            </w:pPr>
            <w:r>
              <w:rPr>
                <w:rFonts w:asciiTheme="majorHAnsi" w:hAnsiTheme="majorHAnsi" w:cstheme="majorHAnsi"/>
                <w:sz w:val="20"/>
                <w:szCs w:val="20"/>
              </w:rPr>
              <w:t>Urszulin</w:t>
            </w:r>
          </w:p>
        </w:tc>
        <w:tc>
          <w:tcPr>
            <w:tcW w:w="1462"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112</w:t>
            </w:r>
          </w:p>
        </w:tc>
        <w:tc>
          <w:tcPr>
            <w:tcW w:w="1464"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131</w:t>
            </w:r>
          </w:p>
        </w:tc>
        <w:tc>
          <w:tcPr>
            <w:tcW w:w="1464"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133</w:t>
            </w:r>
          </w:p>
        </w:tc>
        <w:tc>
          <w:tcPr>
            <w:tcW w:w="1461" w:type="dxa"/>
            <w:tcBorders>
              <w:top w:val="nil"/>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149</w:t>
            </w:r>
          </w:p>
        </w:tc>
        <w:tc>
          <w:tcPr>
            <w:tcW w:w="1461" w:type="dxa"/>
            <w:tcBorders>
              <w:top w:val="nil"/>
              <w:left w:val="single" w:sz="4" w:space="0" w:color="5B9BD5"/>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33,0%</w:t>
            </w:r>
          </w:p>
        </w:tc>
      </w:tr>
    </w:tbl>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analizowanym okresie liczba uczniów szkół podstawowych tylko w roku 2016 uległa pogorszeniu. Poza tym obserwujemy ich wzrost. W roku 2019 było ich 2 867 co stanowi przyrost o 23,9% w stosunku do roku 2015 i o 31,7% do roku 2016.</w:t>
      </w:r>
    </w:p>
    <w:p w:rsidR="00DC75FA" w:rsidRDefault="00887D84">
      <w:pPr>
        <w:pStyle w:val="aaapodpis"/>
      </w:pPr>
      <w:bookmarkStart w:id="112" w:name="_Toc75899495"/>
      <w:r>
        <w:t>Wykres 30: Łączna liczba uczniów w szkołach podstawowych na terenie OF</w:t>
      </w:r>
      <w:bookmarkEnd w:id="112"/>
    </w:p>
    <w:p w:rsidR="00DC75FA" w:rsidRDefault="00887D84">
      <w:r>
        <w:rPr>
          <w:noProof/>
          <w:lang w:eastAsia="pl-PL"/>
        </w:rPr>
        <w:drawing>
          <wp:inline distT="0" distB="0" distL="0" distR="0" wp14:anchorId="782DC005" wp14:editId="0E2C7AA1">
            <wp:extent cx="6119495" cy="1466850"/>
            <wp:effectExtent l="0" t="0" r="0" b="0"/>
            <wp:docPr id="79" name="Wykres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każdej z gmin należących do obszaru funkcjonalnego odnotowano wzrost liczby uczniów w analizowanym okresie. Największy wzrost uczniów zauważalny jest w Gminie Urszulin. W 2019 r. w szkołach podstawowych uczyło się prawie o 1/3 uczniów więcej niż w roku 2015. Szkoły w Gminie Milejów zwiększyły ilość swoich uczniów o 20%. Porównywalny wzrost odnotowano na terenie Gminy Cyców. Mniejsze ale również znaczące wzrosty zauważono w Gminach Ludwin i Milejów. W 2019 r. najwięcej uczniów w szkołach podstawowych uczyło się w Gminach Cyców oraz Milejów. Najmniej w Gminie Urszulin.</w:t>
      </w:r>
    </w:p>
    <w:p w:rsidR="00DC75FA" w:rsidRDefault="00887D84">
      <w:pPr>
        <w:pStyle w:val="aaapodpis"/>
      </w:pPr>
      <w:bookmarkStart w:id="113" w:name="_Toc75899288"/>
      <w:r>
        <w:lastRenderedPageBreak/>
        <w:t>Tabela 10: Liczba uczniów w szkołach podstawowych w poszczególnych JST na terenie OF</w:t>
      </w:r>
      <w:bookmarkEnd w:id="113"/>
    </w:p>
    <w:tbl>
      <w:tblPr>
        <w:tblStyle w:val="Jasnecieniowanieakcent11"/>
        <w:tblW w:w="5000" w:type="pct"/>
        <w:tblLook w:val="04A0" w:firstRow="1" w:lastRow="0" w:firstColumn="1" w:lastColumn="0" w:noHBand="0" w:noVBand="1"/>
      </w:tblPr>
      <w:tblGrid>
        <w:gridCol w:w="2377"/>
        <w:gridCol w:w="1495"/>
        <w:gridCol w:w="1497"/>
        <w:gridCol w:w="1497"/>
        <w:gridCol w:w="1494"/>
        <w:gridCol w:w="1494"/>
      </w:tblGrid>
      <w:tr w:rsidR="00DC75FA" w:rsidTr="00DC75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rPr>
                <w:rFonts w:asciiTheme="majorHAnsi" w:hAnsiTheme="majorHAnsi" w:cstheme="majorHAnsi"/>
                <w:bCs w:val="0"/>
                <w:sz w:val="20"/>
                <w:szCs w:val="20"/>
              </w:rPr>
            </w:pPr>
            <w:r>
              <w:rPr>
                <w:rFonts w:asciiTheme="majorHAnsi" w:hAnsiTheme="majorHAnsi" w:cstheme="majorHAnsi"/>
                <w:sz w:val="20"/>
                <w:szCs w:val="20"/>
              </w:rPr>
              <w:t> </w:t>
            </w:r>
          </w:p>
        </w:tc>
        <w:tc>
          <w:tcPr>
            <w:tcW w:w="1462"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2015/2016</w:t>
            </w:r>
          </w:p>
        </w:tc>
        <w:tc>
          <w:tcPr>
            <w:tcW w:w="146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2016/2017</w:t>
            </w:r>
          </w:p>
        </w:tc>
        <w:tc>
          <w:tcPr>
            <w:tcW w:w="146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2017/2018</w:t>
            </w:r>
          </w:p>
        </w:tc>
        <w:tc>
          <w:tcPr>
            <w:tcW w:w="1461"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2018/2019</w:t>
            </w:r>
          </w:p>
        </w:tc>
        <w:tc>
          <w:tcPr>
            <w:tcW w:w="1461" w:type="dxa"/>
            <w:tcBorders>
              <w:top w:val="single" w:sz="4" w:space="0" w:color="5B9BD5"/>
              <w:left w:val="single" w:sz="4" w:space="0" w:color="5B9BD5"/>
              <w:bottom w:val="single" w:sz="4" w:space="0" w:color="5B9BD5"/>
              <w:right w:val="single" w:sz="4" w:space="0" w:color="5B9BD5"/>
            </w:tcBorders>
            <w:shd w:val="clear" w:color="auto" w:fill="auto"/>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Zmiana</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Borders>
              <w:top w:val="single" w:sz="4" w:space="0" w:color="5B9BD5"/>
              <w:left w:val="single" w:sz="4" w:space="0" w:color="5B9BD5"/>
              <w:bottom w:val="nil"/>
            </w:tcBorders>
            <w:vAlign w:val="bottom"/>
          </w:tcPr>
          <w:p w:rsidR="00DC75FA" w:rsidRDefault="00887D84">
            <w:pPr>
              <w:spacing w:after="0" w:line="240" w:lineRule="auto"/>
              <w:jc w:val="center"/>
              <w:rPr>
                <w:rFonts w:asciiTheme="majorHAnsi" w:hAnsiTheme="majorHAnsi" w:cstheme="majorHAnsi"/>
                <w:b w:val="0"/>
                <w:bCs w:val="0"/>
                <w:sz w:val="20"/>
                <w:szCs w:val="20"/>
              </w:rPr>
            </w:pPr>
            <w:r>
              <w:rPr>
                <w:rFonts w:asciiTheme="majorHAnsi" w:hAnsiTheme="majorHAnsi" w:cstheme="majorHAnsi"/>
                <w:sz w:val="20"/>
                <w:szCs w:val="20"/>
              </w:rPr>
              <w:t>Cyców</w:t>
            </w:r>
          </w:p>
        </w:tc>
        <w:tc>
          <w:tcPr>
            <w:tcW w:w="1462"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571</w:t>
            </w:r>
          </w:p>
        </w:tc>
        <w:tc>
          <w:tcPr>
            <w:tcW w:w="1464"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519</w:t>
            </w:r>
          </w:p>
        </w:tc>
        <w:tc>
          <w:tcPr>
            <w:tcW w:w="1464"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590</w:t>
            </w:r>
          </w:p>
        </w:tc>
        <w:tc>
          <w:tcPr>
            <w:tcW w:w="1461" w:type="dxa"/>
            <w:tcBorders>
              <w:top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682</w:t>
            </w:r>
          </w:p>
        </w:tc>
        <w:tc>
          <w:tcPr>
            <w:tcW w:w="1461" w:type="dxa"/>
            <w:tcBorders>
              <w:top w:val="single" w:sz="4" w:space="0" w:color="5B9BD5"/>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19,4%</w:t>
            </w:r>
          </w:p>
        </w:tc>
      </w:tr>
      <w:tr w:rsidR="00DC75FA" w:rsidTr="00DC75FA">
        <w:tc>
          <w:tcPr>
            <w:cnfStyle w:val="001000000000" w:firstRow="0" w:lastRow="0" w:firstColumn="1" w:lastColumn="0" w:oddVBand="0" w:evenVBand="0" w:oddHBand="0" w:evenHBand="0" w:firstRowFirstColumn="0" w:firstRowLastColumn="0" w:lastRowFirstColumn="0" w:lastRowLastColumn="0"/>
            <w:tcW w:w="2325"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hAnsiTheme="majorHAnsi" w:cstheme="majorHAnsi"/>
                <w:b w:val="0"/>
                <w:bCs w:val="0"/>
                <w:sz w:val="20"/>
                <w:szCs w:val="20"/>
              </w:rPr>
            </w:pPr>
            <w:r>
              <w:rPr>
                <w:rFonts w:asciiTheme="majorHAnsi" w:hAnsiTheme="majorHAnsi" w:cstheme="majorHAnsi"/>
                <w:sz w:val="20"/>
                <w:szCs w:val="20"/>
              </w:rPr>
              <w:t>Ludwin</w:t>
            </w:r>
          </w:p>
        </w:tc>
        <w:tc>
          <w:tcPr>
            <w:tcW w:w="146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406</w:t>
            </w:r>
          </w:p>
        </w:tc>
        <w:tc>
          <w:tcPr>
            <w:tcW w:w="146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370</w:t>
            </w:r>
          </w:p>
        </w:tc>
        <w:tc>
          <w:tcPr>
            <w:tcW w:w="146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418</w:t>
            </w:r>
          </w:p>
        </w:tc>
        <w:tc>
          <w:tcPr>
            <w:tcW w:w="1461"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478</w:t>
            </w:r>
          </w:p>
        </w:tc>
        <w:tc>
          <w:tcPr>
            <w:tcW w:w="1461"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17,7%</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Borders>
              <w:top w:val="nil"/>
              <w:left w:val="single" w:sz="4" w:space="0" w:color="5B9BD5"/>
              <w:bottom w:val="nil"/>
            </w:tcBorders>
            <w:vAlign w:val="bottom"/>
          </w:tcPr>
          <w:p w:rsidR="00DC75FA" w:rsidRDefault="00887D84">
            <w:pPr>
              <w:spacing w:after="0" w:line="240" w:lineRule="auto"/>
              <w:jc w:val="center"/>
              <w:rPr>
                <w:rFonts w:asciiTheme="majorHAnsi" w:hAnsiTheme="majorHAnsi" w:cstheme="majorHAnsi"/>
                <w:b w:val="0"/>
                <w:bCs w:val="0"/>
                <w:sz w:val="20"/>
                <w:szCs w:val="20"/>
              </w:rPr>
            </w:pPr>
            <w:r>
              <w:rPr>
                <w:rFonts w:asciiTheme="majorHAnsi" w:hAnsiTheme="majorHAnsi" w:cstheme="majorHAnsi"/>
                <w:sz w:val="20"/>
                <w:szCs w:val="20"/>
              </w:rPr>
              <w:t xml:space="preserve">Milejów </w:t>
            </w:r>
          </w:p>
        </w:tc>
        <w:tc>
          <w:tcPr>
            <w:tcW w:w="1462"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563</w:t>
            </w:r>
          </w:p>
        </w:tc>
        <w:tc>
          <w:tcPr>
            <w:tcW w:w="1464"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499</w:t>
            </w:r>
          </w:p>
        </w:tc>
        <w:tc>
          <w:tcPr>
            <w:tcW w:w="1464"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576</w:t>
            </w:r>
          </w:p>
        </w:tc>
        <w:tc>
          <w:tcPr>
            <w:tcW w:w="1461"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678</w:t>
            </w:r>
          </w:p>
        </w:tc>
        <w:tc>
          <w:tcPr>
            <w:tcW w:w="1461" w:type="dxa"/>
            <w:tcBorders>
              <w:top w:val="nil"/>
              <w:left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20,4%</w:t>
            </w:r>
          </w:p>
        </w:tc>
      </w:tr>
      <w:tr w:rsidR="00DC75FA" w:rsidTr="00DC75FA">
        <w:tc>
          <w:tcPr>
            <w:cnfStyle w:val="001000000000" w:firstRow="0" w:lastRow="0" w:firstColumn="1" w:lastColumn="0" w:oddVBand="0" w:evenVBand="0" w:oddHBand="0" w:evenHBand="0" w:firstRowFirstColumn="0" w:firstRowLastColumn="0" w:lastRowFirstColumn="0" w:lastRowLastColumn="0"/>
            <w:tcW w:w="2325" w:type="dxa"/>
            <w:tcBorders>
              <w:top w:val="nil"/>
              <w:left w:val="single" w:sz="4" w:space="0" w:color="5B9BD5"/>
              <w:bottom w:val="nil"/>
            </w:tcBorders>
            <w:shd w:val="clear" w:color="auto" w:fill="auto"/>
            <w:vAlign w:val="bottom"/>
          </w:tcPr>
          <w:p w:rsidR="00DC75FA" w:rsidRDefault="00887D84">
            <w:pPr>
              <w:spacing w:after="0" w:line="240" w:lineRule="auto"/>
              <w:jc w:val="center"/>
              <w:rPr>
                <w:rFonts w:asciiTheme="majorHAnsi" w:hAnsiTheme="majorHAnsi" w:cstheme="majorHAnsi"/>
                <w:b w:val="0"/>
                <w:bCs w:val="0"/>
                <w:sz w:val="20"/>
                <w:szCs w:val="20"/>
              </w:rPr>
            </w:pPr>
            <w:r>
              <w:rPr>
                <w:rFonts w:asciiTheme="majorHAnsi" w:hAnsiTheme="majorHAnsi" w:cstheme="majorHAnsi"/>
                <w:sz w:val="20"/>
                <w:szCs w:val="20"/>
              </w:rPr>
              <w:t xml:space="preserve">Puchaczów </w:t>
            </w:r>
          </w:p>
        </w:tc>
        <w:tc>
          <w:tcPr>
            <w:tcW w:w="1462"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554</w:t>
            </w:r>
          </w:p>
        </w:tc>
        <w:tc>
          <w:tcPr>
            <w:tcW w:w="146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502</w:t>
            </w:r>
          </w:p>
        </w:tc>
        <w:tc>
          <w:tcPr>
            <w:tcW w:w="1464"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580</w:t>
            </w:r>
          </w:p>
        </w:tc>
        <w:tc>
          <w:tcPr>
            <w:tcW w:w="1461"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643</w:t>
            </w:r>
          </w:p>
        </w:tc>
        <w:tc>
          <w:tcPr>
            <w:tcW w:w="1461" w:type="dxa"/>
            <w:tcBorders>
              <w:top w:val="nil"/>
              <w:left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16,1%</w:t>
            </w:r>
          </w:p>
        </w:tc>
      </w:tr>
      <w:tr w:rsidR="00DC75FA" w:rsidTr="00DC75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tcBorders>
              <w:top w:val="nil"/>
              <w:left w:val="single" w:sz="4" w:space="0" w:color="5B9BD5"/>
              <w:bottom w:val="single" w:sz="4" w:space="0" w:color="5B9BD5"/>
            </w:tcBorders>
            <w:vAlign w:val="bottom"/>
          </w:tcPr>
          <w:p w:rsidR="00DC75FA" w:rsidRDefault="00887D84">
            <w:pPr>
              <w:spacing w:after="0" w:line="240" w:lineRule="auto"/>
              <w:jc w:val="center"/>
              <w:rPr>
                <w:rFonts w:asciiTheme="majorHAnsi" w:hAnsiTheme="majorHAnsi" w:cstheme="majorHAnsi"/>
                <w:b w:val="0"/>
                <w:bCs w:val="0"/>
                <w:sz w:val="20"/>
                <w:szCs w:val="20"/>
              </w:rPr>
            </w:pPr>
            <w:r>
              <w:rPr>
                <w:rFonts w:asciiTheme="majorHAnsi" w:hAnsiTheme="majorHAnsi" w:cstheme="majorHAnsi"/>
                <w:sz w:val="20"/>
                <w:szCs w:val="20"/>
              </w:rPr>
              <w:t>Urszulin</w:t>
            </w:r>
          </w:p>
        </w:tc>
        <w:tc>
          <w:tcPr>
            <w:tcW w:w="1462"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301</w:t>
            </w:r>
          </w:p>
        </w:tc>
        <w:tc>
          <w:tcPr>
            <w:tcW w:w="1464"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287</w:t>
            </w:r>
          </w:p>
        </w:tc>
        <w:tc>
          <w:tcPr>
            <w:tcW w:w="1464"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337</w:t>
            </w:r>
          </w:p>
        </w:tc>
        <w:tc>
          <w:tcPr>
            <w:tcW w:w="1461" w:type="dxa"/>
            <w:tcBorders>
              <w:top w:val="nil"/>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386</w:t>
            </w:r>
          </w:p>
        </w:tc>
        <w:tc>
          <w:tcPr>
            <w:tcW w:w="1461" w:type="dxa"/>
            <w:tcBorders>
              <w:top w:val="nil"/>
              <w:left w:val="single" w:sz="4" w:space="0" w:color="5B9BD5"/>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rPr>
            </w:pPr>
            <w:r>
              <w:rPr>
                <w:rFonts w:asciiTheme="majorHAnsi" w:hAnsiTheme="majorHAnsi" w:cstheme="majorHAnsi"/>
                <w:i/>
                <w:iCs/>
                <w:sz w:val="20"/>
                <w:szCs w:val="20"/>
              </w:rPr>
              <w:t>28,2%</w:t>
            </w:r>
          </w:p>
        </w:tc>
      </w:tr>
    </w:tbl>
    <w:p w:rsidR="00DC75FA" w:rsidRDefault="00887D84">
      <w:pPr>
        <w:pStyle w:val="aaardo"/>
      </w:pPr>
      <w:r>
        <w:t>Źródło: opracowanie własne na podstawie danych GUS – Bank Danych Lokalnych.</w:t>
      </w:r>
    </w:p>
    <w:p w:rsidR="00DC75FA" w:rsidRDefault="00DC75FA">
      <w:pPr>
        <w:rPr>
          <w:rFonts w:ascii="Times New Roman" w:hAnsi="Times New Roman" w:cs="Times New Roman"/>
          <w:b/>
          <w:color w:val="ED7D31" w:themeColor="accent2"/>
          <w:sz w:val="24"/>
          <w:szCs w:val="24"/>
          <w:highlight w:val="yellow"/>
        </w:rPr>
      </w:pPr>
    </w:p>
    <w:p w:rsidR="00DC75FA" w:rsidRDefault="00887D84">
      <w:pPr>
        <w:rPr>
          <w:rFonts w:ascii="Times New Roman" w:hAnsi="Times New Roman" w:cs="Times New Roman"/>
          <w:b/>
          <w:color w:val="ED7D31" w:themeColor="accent2"/>
          <w:sz w:val="24"/>
          <w:szCs w:val="24"/>
          <w:highlight w:val="yellow"/>
        </w:rPr>
      </w:pPr>
      <w:r>
        <w:br w:type="page"/>
      </w:r>
    </w:p>
    <w:p w:rsidR="00DC75FA" w:rsidRDefault="00887D84">
      <w:pPr>
        <w:pStyle w:val="Bezodstpw"/>
        <w:numPr>
          <w:ilvl w:val="1"/>
          <w:numId w:val="25"/>
        </w:numPr>
        <w:spacing w:before="240" w:after="240" w:line="276" w:lineRule="auto"/>
        <w:ind w:left="788" w:hanging="431"/>
        <w:jc w:val="both"/>
        <w:outlineLvl w:val="2"/>
        <w:rPr>
          <w:rFonts w:ascii="Times New Roman" w:hAnsi="Times New Roman" w:cs="Times New Roman"/>
          <w:b/>
          <w:color w:val="5B9BD5" w:themeColor="accent1"/>
          <w:sz w:val="24"/>
          <w:szCs w:val="24"/>
        </w:rPr>
      </w:pPr>
      <w:bookmarkStart w:id="114" w:name="_Toc116896675"/>
      <w:bookmarkStart w:id="115" w:name="_Toc105754712"/>
      <w:r>
        <w:rPr>
          <w:rFonts w:ascii="Times New Roman" w:hAnsi="Times New Roman" w:cs="Times New Roman"/>
          <w:b/>
          <w:color w:val="5B9BD5" w:themeColor="accent1"/>
          <w:sz w:val="24"/>
          <w:szCs w:val="24"/>
        </w:rPr>
        <w:lastRenderedPageBreak/>
        <w:t>INFRASTRUKTURA</w:t>
      </w:r>
      <w:bookmarkEnd w:id="114"/>
      <w:bookmarkEnd w:id="115"/>
    </w:p>
    <w:p w:rsidR="00DC75FA" w:rsidRDefault="00887D84">
      <w:pPr>
        <w:pStyle w:val="Bezodstpw"/>
        <w:numPr>
          <w:ilvl w:val="2"/>
          <w:numId w:val="25"/>
        </w:numPr>
        <w:spacing w:before="240" w:after="240" w:line="276" w:lineRule="auto"/>
        <w:contextualSpacing/>
        <w:jc w:val="both"/>
        <w:outlineLvl w:val="3"/>
        <w:rPr>
          <w:rFonts w:ascii="Times New Roman" w:hAnsi="Times New Roman" w:cs="Times New Roman"/>
          <w:b/>
          <w:color w:val="5B9BD5" w:themeColor="accent1"/>
          <w:sz w:val="24"/>
          <w:szCs w:val="24"/>
        </w:rPr>
      </w:pPr>
      <w:bookmarkStart w:id="116" w:name="_Toc116896676"/>
      <w:r>
        <w:rPr>
          <w:rFonts w:ascii="Times New Roman" w:hAnsi="Times New Roman" w:cs="Times New Roman"/>
          <w:b/>
          <w:color w:val="5B9BD5" w:themeColor="accent1"/>
          <w:sz w:val="24"/>
          <w:szCs w:val="24"/>
        </w:rPr>
        <w:t>Drogi i transport</w:t>
      </w:r>
      <w:bookmarkEnd w:id="116"/>
    </w:p>
    <w:p w:rsidR="00DC75FA" w:rsidRDefault="00887D84">
      <w:pPr>
        <w:ind w:firstLine="567"/>
        <w:jc w:val="both"/>
        <w:rPr>
          <w:rFonts w:ascii="Times New Roman" w:hAnsi="Times New Roman" w:cs="Times New Roman"/>
        </w:rPr>
      </w:pPr>
      <w:r>
        <w:rPr>
          <w:rFonts w:ascii="Times New Roman" w:hAnsi="Times New Roman" w:cs="Times New Roman"/>
        </w:rPr>
        <w:t xml:space="preserve">Dostępność komunikacyjna i transportowa jest jednym z kluczowych elementów wpływających na rozwój danego obszaru, stanowiącym o jego potencjale ekonomicznym. </w:t>
      </w:r>
      <w:bookmarkStart w:id="117" w:name="_Hlk50812266"/>
    </w:p>
    <w:p w:rsidR="00DC75FA" w:rsidRDefault="00887D84">
      <w:pPr>
        <w:spacing w:after="0"/>
        <w:ind w:firstLine="567"/>
        <w:jc w:val="both"/>
        <w:rPr>
          <w:rFonts w:ascii="Times New Roman" w:hAnsi="Times New Roman" w:cs="Times New Roman"/>
        </w:rPr>
      </w:pPr>
      <w:r>
        <w:rPr>
          <w:rFonts w:ascii="Times New Roman" w:hAnsi="Times New Roman" w:cs="Times New Roman"/>
        </w:rPr>
        <w:t xml:space="preserve">Podstawowy układ komunikacji OF tworzą: </w:t>
      </w:r>
    </w:p>
    <w:p w:rsidR="00DC75FA" w:rsidRDefault="00887D84">
      <w:pPr>
        <w:pStyle w:val="Akapitzlist"/>
        <w:numPr>
          <w:ilvl w:val="0"/>
          <w:numId w:val="44"/>
        </w:numPr>
        <w:spacing w:after="0" w:line="276" w:lineRule="auto"/>
        <w:jc w:val="both"/>
        <w:rPr>
          <w:rFonts w:ascii="Times New Roman" w:hAnsi="Times New Roman" w:cs="Times New Roman"/>
        </w:rPr>
      </w:pPr>
      <w:r>
        <w:rPr>
          <w:rFonts w:ascii="Times New Roman" w:hAnsi="Times New Roman" w:cs="Times New Roman"/>
          <w:szCs w:val="20"/>
        </w:rPr>
        <w:t>droga krajowa nr 82 Lublin</w:t>
      </w:r>
      <w:r>
        <w:rPr>
          <w:rFonts w:ascii="Times New Roman" w:hAnsi="Times New Roman" w:cs="Times New Roman"/>
        </w:rPr>
        <w:t xml:space="preserve"> – </w:t>
      </w:r>
      <w:r>
        <w:rPr>
          <w:rFonts w:ascii="Times New Roman" w:hAnsi="Times New Roman" w:cs="Times New Roman"/>
          <w:szCs w:val="20"/>
        </w:rPr>
        <w:t>Włodawa.</w:t>
      </w:r>
    </w:p>
    <w:p w:rsidR="00DC75FA" w:rsidRDefault="00887D84">
      <w:pPr>
        <w:pStyle w:val="Akapitzlist"/>
        <w:numPr>
          <w:ilvl w:val="0"/>
          <w:numId w:val="44"/>
        </w:numPr>
        <w:spacing w:after="0" w:line="276" w:lineRule="auto"/>
        <w:jc w:val="both"/>
        <w:rPr>
          <w:rFonts w:ascii="Times New Roman" w:hAnsi="Times New Roman" w:cs="Times New Roman"/>
        </w:rPr>
      </w:pPr>
      <w:r>
        <w:rPr>
          <w:rFonts w:ascii="Times New Roman" w:hAnsi="Times New Roman" w:cs="Times New Roman"/>
        </w:rPr>
        <w:t>drogi wojewódzkie:</w:t>
      </w:r>
    </w:p>
    <w:p w:rsidR="00DC75FA" w:rsidRDefault="00887D84">
      <w:pPr>
        <w:pStyle w:val="Akapitzlist"/>
        <w:numPr>
          <w:ilvl w:val="0"/>
          <w:numId w:val="43"/>
        </w:numPr>
        <w:spacing w:after="200" w:line="276" w:lineRule="auto"/>
        <w:jc w:val="both"/>
        <w:rPr>
          <w:rFonts w:ascii="Times New Roman" w:hAnsi="Times New Roman" w:cs="Times New Roman"/>
        </w:rPr>
      </w:pPr>
      <w:r>
        <w:rPr>
          <w:rFonts w:ascii="Times New Roman" w:hAnsi="Times New Roman" w:cs="Times New Roman"/>
        </w:rPr>
        <w:t>831 Lublin – Łęczna – Cyców – Włodawa</w:t>
      </w:r>
    </w:p>
    <w:p w:rsidR="00DC75FA" w:rsidRDefault="00887D84">
      <w:pPr>
        <w:pStyle w:val="Akapitzlist"/>
        <w:numPr>
          <w:ilvl w:val="0"/>
          <w:numId w:val="43"/>
        </w:numPr>
        <w:spacing w:after="200" w:line="276" w:lineRule="auto"/>
        <w:jc w:val="both"/>
        <w:rPr>
          <w:rFonts w:ascii="Times New Roman" w:hAnsi="Times New Roman" w:cs="Times New Roman"/>
        </w:rPr>
      </w:pPr>
      <w:r>
        <w:rPr>
          <w:rFonts w:ascii="Times New Roman" w:hAnsi="Times New Roman" w:cs="Times New Roman"/>
        </w:rPr>
        <w:t>813 Łęczna – Ostrów Lubelski – Parczew – Międzyrzec Podlaski</w:t>
      </w:r>
    </w:p>
    <w:p w:rsidR="00DC75FA" w:rsidRDefault="00887D84">
      <w:pPr>
        <w:pStyle w:val="Akapitzlist"/>
        <w:numPr>
          <w:ilvl w:val="0"/>
          <w:numId w:val="43"/>
        </w:numPr>
        <w:spacing w:after="200" w:line="276" w:lineRule="auto"/>
        <w:jc w:val="both"/>
        <w:rPr>
          <w:rFonts w:ascii="Times New Roman" w:hAnsi="Times New Roman" w:cs="Times New Roman"/>
        </w:rPr>
      </w:pPr>
      <w:r>
        <w:rPr>
          <w:rFonts w:ascii="Times New Roman" w:hAnsi="Times New Roman" w:cs="Times New Roman"/>
        </w:rPr>
        <w:t>838 Głębokie – Dorohucza – Trawniki – Fajsławice,</w:t>
      </w:r>
    </w:p>
    <w:p w:rsidR="00DC75FA" w:rsidRDefault="00887D84">
      <w:pPr>
        <w:pStyle w:val="Akapitzlist"/>
        <w:numPr>
          <w:ilvl w:val="0"/>
          <w:numId w:val="43"/>
        </w:numPr>
        <w:spacing w:after="200" w:line="276" w:lineRule="auto"/>
        <w:jc w:val="both"/>
        <w:rPr>
          <w:rFonts w:ascii="Times New Roman" w:hAnsi="Times New Roman" w:cs="Times New Roman"/>
        </w:rPr>
      </w:pPr>
      <w:r>
        <w:rPr>
          <w:rFonts w:ascii="Times New Roman" w:hAnsi="Times New Roman" w:cs="Times New Roman"/>
        </w:rPr>
        <w:t>839 Cyców – Kulik – Siedliszcze,</w:t>
      </w:r>
    </w:p>
    <w:p w:rsidR="00DC75FA" w:rsidRDefault="00887D84">
      <w:pPr>
        <w:pStyle w:val="Akapitzlist"/>
        <w:numPr>
          <w:ilvl w:val="0"/>
          <w:numId w:val="43"/>
        </w:numPr>
        <w:spacing w:after="200" w:line="276" w:lineRule="auto"/>
        <w:jc w:val="both"/>
        <w:rPr>
          <w:rFonts w:ascii="Times New Roman" w:hAnsi="Times New Roman" w:cs="Times New Roman"/>
        </w:rPr>
      </w:pPr>
      <w:r>
        <w:rPr>
          <w:rFonts w:ascii="Times New Roman" w:hAnsi="Times New Roman" w:cs="Times New Roman"/>
        </w:rPr>
        <w:t>841 Cyców – Wierzbica – Staw,</w:t>
      </w:r>
    </w:p>
    <w:p w:rsidR="00DC75FA" w:rsidRDefault="00887D84">
      <w:pPr>
        <w:pStyle w:val="Akapitzlist"/>
        <w:numPr>
          <w:ilvl w:val="0"/>
          <w:numId w:val="43"/>
        </w:numPr>
        <w:spacing w:after="200" w:line="276" w:lineRule="auto"/>
        <w:jc w:val="both"/>
        <w:rPr>
          <w:rFonts w:ascii="Times New Roman" w:hAnsi="Times New Roman" w:cs="Times New Roman"/>
        </w:rPr>
      </w:pPr>
      <w:r>
        <w:rPr>
          <w:rFonts w:ascii="Times New Roman" w:hAnsi="Times New Roman" w:cs="Times New Roman"/>
        </w:rPr>
        <w:t>820 Łęczna – Sosnowica,</w:t>
      </w:r>
    </w:p>
    <w:p w:rsidR="00DC75FA" w:rsidRDefault="00887D84">
      <w:pPr>
        <w:pStyle w:val="Akapitzlist"/>
        <w:numPr>
          <w:ilvl w:val="0"/>
          <w:numId w:val="43"/>
        </w:numPr>
        <w:spacing w:after="0" w:line="276" w:lineRule="auto"/>
        <w:jc w:val="both"/>
        <w:rPr>
          <w:rFonts w:ascii="Times New Roman" w:hAnsi="Times New Roman" w:cs="Times New Roman"/>
        </w:rPr>
      </w:pPr>
      <w:r>
        <w:rPr>
          <w:rFonts w:ascii="Times New Roman" w:hAnsi="Times New Roman" w:cs="Times New Roman"/>
        </w:rPr>
        <w:t>829 Łucka – Łęczna – Biskupice</w:t>
      </w:r>
    </w:p>
    <w:p w:rsidR="00DC75FA" w:rsidRDefault="00887D84">
      <w:pPr>
        <w:spacing w:after="0"/>
        <w:jc w:val="both"/>
        <w:rPr>
          <w:rFonts w:ascii="Times New Roman" w:hAnsi="Times New Roman" w:cs="Times New Roman"/>
        </w:rPr>
      </w:pPr>
      <w:r>
        <w:rPr>
          <w:rFonts w:ascii="Times New Roman" w:hAnsi="Times New Roman" w:cs="Times New Roman"/>
        </w:rPr>
        <w:t>oraz drogi powiatowe i gminne.</w:t>
      </w:r>
    </w:p>
    <w:p w:rsidR="00DC75FA" w:rsidRDefault="00887D84">
      <w:pPr>
        <w:ind w:firstLine="567"/>
        <w:jc w:val="both"/>
        <w:rPr>
          <w:rFonts w:ascii="Times New Roman" w:hAnsi="Times New Roman" w:cs="Times New Roman"/>
          <w:szCs w:val="20"/>
        </w:rPr>
      </w:pPr>
      <w:r>
        <w:rPr>
          <w:rFonts w:ascii="Times New Roman" w:hAnsi="Times New Roman" w:cs="Times New Roman"/>
          <w:szCs w:val="20"/>
        </w:rPr>
        <w:t>Połączenia komunikacyjne pomiędzy poszczególnymi miejscowościami OF oraz miejscowościami powiatu i województwa zapewnia komunikacja prywatnych przewoźników.</w:t>
      </w:r>
    </w:p>
    <w:p w:rsidR="00DC75FA" w:rsidRDefault="00887D84">
      <w:pPr>
        <w:ind w:firstLine="567"/>
        <w:jc w:val="both"/>
        <w:rPr>
          <w:rFonts w:ascii="Times New Roman" w:hAnsi="Times New Roman" w:cs="Times New Roman"/>
          <w:szCs w:val="20"/>
        </w:rPr>
      </w:pPr>
      <w:r>
        <w:rPr>
          <w:rFonts w:ascii="Times New Roman" w:hAnsi="Times New Roman" w:cs="Times New Roman"/>
          <w:szCs w:val="20"/>
        </w:rPr>
        <w:t>Przez teren OF przebiega również linia kolejowa Bogdanka–Jaszczów stanowiąca własność Skarbu Państwa (wieczysty użytkownik: Lubelski Węgiel „Bogdanka” S.A.). Jest to linia przeznaczona dla ruchu wyłącznie towarowego, obsługująca wywóz węgla z Kopalni Węgla Kamiennego Lubelski Węgiel „Bogdanka” S.A. Linia kolejowa łączy się z magistralą Lublin–Chełm w miejscowości Jaszczów.</w:t>
      </w:r>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118" w:name="_Toc116896677"/>
      <w:bookmarkEnd w:id="117"/>
      <w:r>
        <w:rPr>
          <w:rFonts w:ascii="Times New Roman" w:hAnsi="Times New Roman" w:cs="Times New Roman"/>
          <w:b/>
          <w:color w:val="5B9BD5" w:themeColor="accent1"/>
          <w:sz w:val="24"/>
          <w:szCs w:val="24"/>
        </w:rPr>
        <w:t>Zasoby mieszkaniowe</w:t>
      </w:r>
      <w:bookmarkEnd w:id="118"/>
    </w:p>
    <w:p w:rsidR="00DC75FA" w:rsidRDefault="00887D84">
      <w:pPr>
        <w:ind w:firstLine="567"/>
        <w:jc w:val="both"/>
        <w:rPr>
          <w:rFonts w:ascii="Times New Roman" w:hAnsi="Times New Roman" w:cs="Times New Roman"/>
        </w:rPr>
      </w:pPr>
      <w:r>
        <w:rPr>
          <w:rFonts w:ascii="Times New Roman" w:hAnsi="Times New Roman" w:cs="Times New Roman"/>
        </w:rPr>
        <w:t>Od 2015 r. liczba mieszkań na terenie OF systematycznie wzrastała. W 2019 r. na obszarze znajdowało się 10 640 mieszkań (o 3,2% więcej niż w 2015 r.). O 2,36% wzrosła również wartość wskaźnika liczby mieszkań przypadających na 1 000 mieszkańców – w ostatnim analizowanym roku wyniosła 328,9 wobec 321,3 w 2015 r. Wraz ze wzrostem liczby mieszkań wzrastała również ich powierzchnia użytkowa: przeciętna powierzchnia użytkowa 1 mieszkania w 2019 r. wyniosła 89,5 m2 (o 0,8 m2 więcej niż w 2015 r.), zaś przeciętna powierzchnia użytkowa mieszkania przypadająca na 1 osobę wyniosła 29,3 m2 (o 0,9 m2 więcej niż w 2015 r.).</w:t>
      </w:r>
    </w:p>
    <w:p w:rsidR="00DC75FA" w:rsidRDefault="00887D84">
      <w:pPr>
        <w:pStyle w:val="aaapodpis"/>
        <w:spacing w:line="276" w:lineRule="auto"/>
      </w:pPr>
      <w:bookmarkStart w:id="119" w:name="_Hlk50812406"/>
      <w:bookmarkStart w:id="120" w:name="_Toc75899496"/>
      <w:bookmarkEnd w:id="119"/>
      <w:r>
        <w:t>Wykres 31: Zasoby mieszkaniowe na obszarze OF w latach 2015-2018</w:t>
      </w:r>
      <w:bookmarkEnd w:id="120"/>
    </w:p>
    <w:p w:rsidR="00DC75FA" w:rsidRDefault="00887D84">
      <w:pPr>
        <w:pStyle w:val="aaardo"/>
      </w:pPr>
      <w:r>
        <w:rPr>
          <w:noProof/>
          <w:lang w:eastAsia="pl-PL"/>
        </w:rPr>
        <w:drawing>
          <wp:inline distT="0" distB="0" distL="0" distR="0" wp14:anchorId="79941008" wp14:editId="4037F2C6">
            <wp:extent cx="6120130" cy="1609725"/>
            <wp:effectExtent l="0" t="0" r="0" b="0"/>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 xml:space="preserve">W żadnej z Gmin z OF nie nastąpiły znaczne wzrosty ani spadki w zasobach mieszkaniowych. W każdej z Gmin należącej do OF wartość wskaźnika liczby mieszkań na 1 000 mieszkańców nieznacznie wzrósł w porównaniu do 2015 r. Największy wzrost mieszkań wystąpił w Gminie Cyców a najmniejszy w </w:t>
      </w:r>
      <w:r>
        <w:rPr>
          <w:rFonts w:ascii="Times New Roman" w:hAnsi="Times New Roman" w:cs="Times New Roman"/>
        </w:rPr>
        <w:lastRenderedPageBreak/>
        <w:t>Gminie Milejów, jednak to w niej znajdowało się najwięcej mieszkań, najmniej w Gminie Ludwin oraz Urszulin.</w:t>
      </w:r>
    </w:p>
    <w:p w:rsidR="00DC75FA" w:rsidRDefault="00887D84">
      <w:pPr>
        <w:pStyle w:val="aaapodpis"/>
        <w:spacing w:line="276" w:lineRule="auto"/>
      </w:pPr>
      <w:bookmarkStart w:id="121" w:name="_Toc75899497"/>
      <w:r>
        <w:t xml:space="preserve">Wykres </w:t>
      </w:r>
      <w:r>
        <w:fldChar w:fldCharType="begin"/>
      </w:r>
      <w:r>
        <w:instrText>SEQ Wykres \* ARABIC</w:instrText>
      </w:r>
      <w:r>
        <w:fldChar w:fldCharType="separate"/>
      </w:r>
      <w:r>
        <w:t>15</w:t>
      </w:r>
      <w:r>
        <w:fldChar w:fldCharType="end"/>
      </w:r>
      <w:r>
        <w:t>: Zasoby mieszkaniowe w poszczególnych JST OF w latach 2015-2018</w:t>
      </w:r>
      <w:bookmarkEnd w:id="121"/>
    </w:p>
    <w:p w:rsidR="00DC75FA" w:rsidRDefault="00887D84">
      <w:pPr>
        <w:pStyle w:val="aaardo"/>
      </w:pPr>
      <w:r>
        <w:rPr>
          <w:noProof/>
          <w:lang w:eastAsia="pl-PL"/>
        </w:rPr>
        <w:drawing>
          <wp:inline distT="0" distB="0" distL="0" distR="0" wp14:anchorId="3D69771D" wp14:editId="120B5D91">
            <wp:extent cx="6120130" cy="2743200"/>
            <wp:effectExtent l="0" t="0" r="0" b="0"/>
            <wp:docPr id="81" name="Wykres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pStyle w:val="aaapodpis"/>
        <w:spacing w:line="276" w:lineRule="auto"/>
      </w:pPr>
      <w:bookmarkStart w:id="122" w:name="_Toc75899289"/>
      <w:r>
        <w:t xml:space="preserve">Tabela </w:t>
      </w:r>
      <w:r>
        <w:fldChar w:fldCharType="begin"/>
      </w:r>
      <w:r>
        <w:instrText>SEQ Tabela \* ARABIC</w:instrText>
      </w:r>
      <w:r>
        <w:fldChar w:fldCharType="separate"/>
      </w:r>
      <w:r>
        <w:t>6</w:t>
      </w:r>
      <w:r>
        <w:fldChar w:fldCharType="end"/>
      </w:r>
      <w:r>
        <w:t>: Zasoby mieszkaniowe na obszarze OF w latach 2015-2018 – wskaźniki</w:t>
      </w:r>
      <w:bookmarkEnd w:id="122"/>
    </w:p>
    <w:tbl>
      <w:tblPr>
        <w:tblStyle w:val="Jasnecieniowanieakcent11"/>
        <w:tblW w:w="5000" w:type="pct"/>
        <w:jc w:val="center"/>
        <w:tblLook w:val="04A0" w:firstRow="1" w:lastRow="0" w:firstColumn="1" w:lastColumn="0" w:noHBand="0" w:noVBand="1"/>
      </w:tblPr>
      <w:tblGrid>
        <w:gridCol w:w="5853"/>
        <w:gridCol w:w="726"/>
        <w:gridCol w:w="725"/>
        <w:gridCol w:w="726"/>
        <w:gridCol w:w="726"/>
        <w:gridCol w:w="1098"/>
      </w:tblGrid>
      <w:tr w:rsidR="00DC75FA" w:rsidTr="00DC75FA">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724" w:type="dxa"/>
            <w:tcBorders>
              <w:top w:val="single" w:sz="4" w:space="0" w:color="5B9BD5"/>
              <w:left w:val="single" w:sz="4" w:space="0" w:color="5B9BD5"/>
            </w:tcBorders>
            <w:shd w:val="clear" w:color="auto" w:fill="auto"/>
          </w:tcPr>
          <w:p w:rsidR="00DC75FA" w:rsidRDefault="00DC75FA">
            <w:pPr>
              <w:spacing w:after="0" w:line="240" w:lineRule="auto"/>
              <w:rPr>
                <w:rFonts w:asciiTheme="majorHAnsi" w:eastAsia="Times New Roman" w:hAnsiTheme="majorHAnsi" w:cstheme="majorHAnsi"/>
                <w:sz w:val="20"/>
                <w:szCs w:val="20"/>
                <w:lang w:eastAsia="pl-PL"/>
              </w:rPr>
            </w:pPr>
          </w:p>
        </w:tc>
        <w:tc>
          <w:tcPr>
            <w:tcW w:w="710" w:type="dxa"/>
            <w:tcBorders>
              <w:top w:val="single" w:sz="4" w:space="0" w:color="5B9BD5"/>
            </w:tcBorders>
            <w:shd w:val="clear" w:color="auto" w:fill="auto"/>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2015</w:t>
            </w:r>
          </w:p>
        </w:tc>
        <w:tc>
          <w:tcPr>
            <w:tcW w:w="709" w:type="dxa"/>
            <w:tcBorders>
              <w:top w:val="single" w:sz="4" w:space="0" w:color="5B9BD5"/>
            </w:tcBorders>
            <w:shd w:val="clear" w:color="auto" w:fill="auto"/>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2016</w:t>
            </w:r>
          </w:p>
        </w:tc>
        <w:tc>
          <w:tcPr>
            <w:tcW w:w="710" w:type="dxa"/>
            <w:tcBorders>
              <w:top w:val="single" w:sz="4" w:space="0" w:color="5B9BD5"/>
            </w:tcBorders>
            <w:shd w:val="clear" w:color="auto" w:fill="auto"/>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2017</w:t>
            </w:r>
          </w:p>
        </w:tc>
        <w:tc>
          <w:tcPr>
            <w:tcW w:w="710" w:type="dxa"/>
            <w:tcBorders>
              <w:top w:val="single" w:sz="4" w:space="0" w:color="5B9BD5"/>
              <w:right w:val="single" w:sz="4" w:space="0" w:color="5B9BD5"/>
            </w:tcBorders>
            <w:shd w:val="clear" w:color="auto" w:fill="auto"/>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2018</w:t>
            </w:r>
          </w:p>
        </w:tc>
        <w:tc>
          <w:tcPr>
            <w:tcW w:w="1074" w:type="dxa"/>
            <w:tcBorders>
              <w:top w:val="single" w:sz="4" w:space="0" w:color="5B9BD5"/>
              <w:left w:val="single" w:sz="4" w:space="0" w:color="5B9BD5"/>
              <w:right w:val="single" w:sz="4" w:space="0" w:color="5B9BD5"/>
            </w:tcBorders>
            <w:shd w:val="clear" w:color="auto" w:fill="auto"/>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eastAsia="Times New Roman" w:hAnsiTheme="majorHAnsi" w:cstheme="majorHAnsi"/>
                <w:i/>
                <w:iCs/>
                <w:sz w:val="20"/>
                <w:szCs w:val="20"/>
                <w:lang w:eastAsia="pl-PL"/>
              </w:rPr>
              <w:t>zmiana</w:t>
            </w:r>
          </w:p>
        </w:tc>
      </w:tr>
      <w:tr w:rsidR="00DC75FA" w:rsidTr="00DC75F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724" w:type="dxa"/>
            <w:tcBorders>
              <w:top w:val="nil"/>
              <w:left w:val="single" w:sz="4" w:space="0" w:color="5B9BD5"/>
              <w:bottom w:val="nil"/>
            </w:tcBorders>
          </w:tcPr>
          <w:p w:rsidR="00DC75FA" w:rsidRDefault="00887D84">
            <w:pPr>
              <w:spacing w:after="0" w:line="240" w:lineRule="auto"/>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przeciętna powierzchnia użytkowa 1 mieszkania</w:t>
            </w:r>
          </w:p>
        </w:tc>
        <w:tc>
          <w:tcPr>
            <w:tcW w:w="710"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88,7</w:t>
            </w:r>
          </w:p>
        </w:tc>
        <w:tc>
          <w:tcPr>
            <w:tcW w:w="709"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89,0</w:t>
            </w:r>
          </w:p>
        </w:tc>
        <w:tc>
          <w:tcPr>
            <w:tcW w:w="710"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89,3</w:t>
            </w:r>
          </w:p>
        </w:tc>
        <w:tc>
          <w:tcPr>
            <w:tcW w:w="710"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89,5</w:t>
            </w:r>
          </w:p>
        </w:tc>
        <w:tc>
          <w:tcPr>
            <w:tcW w:w="1074"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0,83%</w:t>
            </w:r>
          </w:p>
        </w:tc>
      </w:tr>
      <w:tr w:rsidR="00DC75FA" w:rsidTr="00DC75FA">
        <w:trPr>
          <w:trHeight w:val="290"/>
          <w:jc w:val="center"/>
        </w:trPr>
        <w:tc>
          <w:tcPr>
            <w:cnfStyle w:val="001000000000" w:firstRow="0" w:lastRow="0" w:firstColumn="1" w:lastColumn="0" w:oddVBand="0" w:evenVBand="0" w:oddHBand="0" w:evenHBand="0" w:firstRowFirstColumn="0" w:firstRowLastColumn="0" w:lastRowFirstColumn="0" w:lastRowLastColumn="0"/>
            <w:tcW w:w="5724" w:type="dxa"/>
            <w:tcBorders>
              <w:top w:val="nil"/>
              <w:left w:val="single" w:sz="4" w:space="0" w:color="5B9BD5"/>
              <w:bottom w:val="nil"/>
            </w:tcBorders>
            <w:shd w:val="clear" w:color="auto" w:fill="auto"/>
          </w:tcPr>
          <w:p w:rsidR="00DC75FA" w:rsidRDefault="00887D84">
            <w:pPr>
              <w:spacing w:after="0" w:line="240" w:lineRule="auto"/>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przeciętna powierzchnia użytkowa mieszkania na 1 osobę</w:t>
            </w:r>
          </w:p>
        </w:tc>
        <w:tc>
          <w:tcPr>
            <w:tcW w:w="710"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28,4</w:t>
            </w:r>
          </w:p>
        </w:tc>
        <w:tc>
          <w:tcPr>
            <w:tcW w:w="709"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28,7</w:t>
            </w:r>
          </w:p>
        </w:tc>
        <w:tc>
          <w:tcPr>
            <w:tcW w:w="710"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29,0</w:t>
            </w:r>
          </w:p>
        </w:tc>
        <w:tc>
          <w:tcPr>
            <w:tcW w:w="710"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29,3</w:t>
            </w:r>
          </w:p>
        </w:tc>
        <w:tc>
          <w:tcPr>
            <w:tcW w:w="1074"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3,17%</w:t>
            </w:r>
          </w:p>
        </w:tc>
      </w:tr>
      <w:tr w:rsidR="00DC75FA" w:rsidTr="00DC75FA">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724" w:type="dxa"/>
            <w:tcBorders>
              <w:top w:val="nil"/>
              <w:left w:val="single" w:sz="4" w:space="0" w:color="5B9BD5"/>
              <w:bottom w:val="single" w:sz="4" w:space="0" w:color="5B9BD5"/>
            </w:tcBorders>
          </w:tcPr>
          <w:p w:rsidR="00DC75FA" w:rsidRDefault="00887D84">
            <w:pPr>
              <w:spacing w:after="0" w:line="240" w:lineRule="auto"/>
              <w:rPr>
                <w:rFonts w:asciiTheme="majorHAnsi" w:eastAsia="Times New Roman" w:hAnsiTheme="majorHAnsi" w:cstheme="majorHAnsi"/>
                <w:sz w:val="20"/>
                <w:szCs w:val="20"/>
                <w:lang w:eastAsia="pl-PL"/>
              </w:rPr>
            </w:pPr>
            <w:r>
              <w:rPr>
                <w:rFonts w:asciiTheme="majorHAnsi" w:eastAsia="Times New Roman" w:hAnsiTheme="majorHAnsi" w:cstheme="majorHAnsi"/>
                <w:sz w:val="20"/>
                <w:szCs w:val="20"/>
                <w:lang w:eastAsia="pl-PL"/>
              </w:rPr>
              <w:t>mieszkania na 1000 mieszkańców</w:t>
            </w:r>
          </w:p>
        </w:tc>
        <w:tc>
          <w:tcPr>
            <w:tcW w:w="710"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321,3</w:t>
            </w:r>
          </w:p>
        </w:tc>
        <w:tc>
          <w:tcPr>
            <w:tcW w:w="709"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324,3</w:t>
            </w:r>
          </w:p>
        </w:tc>
        <w:tc>
          <w:tcPr>
            <w:tcW w:w="710"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326,1</w:t>
            </w:r>
          </w:p>
        </w:tc>
        <w:tc>
          <w:tcPr>
            <w:tcW w:w="710"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eastAsia="pl-PL"/>
              </w:rPr>
            </w:pPr>
            <w:r>
              <w:rPr>
                <w:rFonts w:asciiTheme="majorHAnsi" w:hAnsiTheme="majorHAnsi" w:cstheme="majorHAnsi"/>
                <w:sz w:val="20"/>
                <w:szCs w:val="20"/>
              </w:rPr>
              <w:t>328,9</w:t>
            </w:r>
          </w:p>
        </w:tc>
        <w:tc>
          <w:tcPr>
            <w:tcW w:w="1074"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20"/>
                <w:szCs w:val="20"/>
                <w:lang w:eastAsia="pl-PL"/>
              </w:rPr>
            </w:pPr>
            <w:r>
              <w:rPr>
                <w:rFonts w:asciiTheme="majorHAnsi" w:hAnsiTheme="majorHAnsi" w:cstheme="majorHAnsi"/>
                <w:i/>
                <w:iCs/>
                <w:sz w:val="20"/>
                <w:szCs w:val="20"/>
              </w:rPr>
              <w:t>2,36%</w:t>
            </w:r>
          </w:p>
        </w:tc>
      </w:tr>
    </w:tbl>
    <w:p w:rsidR="00DC75FA" w:rsidRDefault="00887D84">
      <w:pPr>
        <w:pStyle w:val="aaardo"/>
      </w:pPr>
      <w:r>
        <w:t>Źródło: opracowanie własne na podstawie danych GUS – Bank Danych Lokalnych.</w:t>
      </w:r>
    </w:p>
    <w:p w:rsidR="00DC75FA" w:rsidRDefault="00887D84">
      <w:pPr>
        <w:pStyle w:val="aaapodpis"/>
        <w:spacing w:line="276" w:lineRule="auto"/>
      </w:pPr>
      <w:bookmarkStart w:id="123" w:name="_Toc75899498"/>
      <w:r>
        <w:lastRenderedPageBreak/>
        <w:t xml:space="preserve">Wykres </w:t>
      </w:r>
      <w:r>
        <w:fldChar w:fldCharType="begin"/>
      </w:r>
      <w:r>
        <w:instrText>SEQ Wykres \* ARABIC</w:instrText>
      </w:r>
      <w:r>
        <w:fldChar w:fldCharType="separate"/>
      </w:r>
      <w:r>
        <w:t>16</w:t>
      </w:r>
      <w:r>
        <w:fldChar w:fldCharType="end"/>
      </w:r>
      <w:r>
        <w:t>: Mieszkania na 1000 mieszkańców w poszczególnych JST OF w latach 2015-2018</w:t>
      </w:r>
      <w:bookmarkEnd w:id="123"/>
      <w:r>
        <w:t xml:space="preserve"> </w:t>
      </w:r>
    </w:p>
    <w:p w:rsidR="00DC75FA" w:rsidRDefault="00887D84">
      <w:pPr>
        <w:pStyle w:val="aaardo"/>
      </w:pPr>
      <w:r>
        <w:rPr>
          <w:noProof/>
          <w:lang w:eastAsia="pl-PL"/>
        </w:rPr>
        <w:drawing>
          <wp:inline distT="0" distB="0" distL="0" distR="0" wp14:anchorId="00143C83" wp14:editId="23622FD4">
            <wp:extent cx="6120130" cy="3587115"/>
            <wp:effectExtent l="0" t="0" r="0" b="0"/>
            <wp:docPr id="82" name="Wykres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t xml:space="preserve"> 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2019 r. na terenie OF oddano do użytkowania 121 mieszkań i była to najniższa wartość od 2015 r. Łączna powierzchnia użytkowa  oddanych mieszkań wyniosła 14 949 m</w:t>
      </w:r>
      <w:r>
        <w:rPr>
          <w:rFonts w:ascii="Times New Roman" w:hAnsi="Times New Roman" w:cs="Times New Roman"/>
          <w:vertAlign w:val="superscript"/>
        </w:rPr>
        <w:t>2</w:t>
      </w:r>
      <w:r>
        <w:rPr>
          <w:rFonts w:ascii="Times New Roman" w:hAnsi="Times New Roman" w:cs="Times New Roman"/>
        </w:rPr>
        <w:t>, która również była najniższą wartością od 2015 r.</w:t>
      </w:r>
    </w:p>
    <w:p w:rsidR="00DC75FA" w:rsidRDefault="00887D84">
      <w:pPr>
        <w:pStyle w:val="aaapodpis"/>
        <w:spacing w:line="276" w:lineRule="auto"/>
      </w:pPr>
      <w:bookmarkStart w:id="124" w:name="_Toc75899499"/>
      <w:r>
        <w:t xml:space="preserve">Wykres </w:t>
      </w:r>
      <w:r>
        <w:fldChar w:fldCharType="begin"/>
      </w:r>
      <w:r>
        <w:instrText>SEQ Wykres \* ARABIC</w:instrText>
      </w:r>
      <w:r>
        <w:fldChar w:fldCharType="separate"/>
      </w:r>
      <w:r>
        <w:t>17</w:t>
      </w:r>
      <w:r>
        <w:fldChar w:fldCharType="end"/>
      </w:r>
      <w:r>
        <w:t>: Liczba i powierzchnia użytkowa mieszkań (m</w:t>
      </w:r>
      <w:r>
        <w:rPr>
          <w:vertAlign w:val="superscript"/>
        </w:rPr>
        <w:t>2</w:t>
      </w:r>
      <w:r>
        <w:t>)</w:t>
      </w:r>
      <w:r>
        <w:rPr>
          <w:vertAlign w:val="superscript"/>
        </w:rPr>
        <w:t xml:space="preserve"> </w:t>
      </w:r>
      <w:r>
        <w:t>oddanych do użytkowania na obszarze OF w latach 2015-2019</w:t>
      </w:r>
      <w:bookmarkEnd w:id="124"/>
    </w:p>
    <w:p w:rsidR="00DC75FA" w:rsidRDefault="00887D84">
      <w:pPr>
        <w:pStyle w:val="aaardo"/>
      </w:pPr>
      <w:r>
        <w:rPr>
          <w:noProof/>
          <w:lang w:eastAsia="pl-PL"/>
        </w:rPr>
        <w:drawing>
          <wp:inline distT="0" distB="0" distL="0" distR="0" wp14:anchorId="08D1A160" wp14:editId="6D289A51">
            <wp:extent cx="6120130" cy="2743200"/>
            <wp:effectExtent l="0" t="0" r="0" b="0"/>
            <wp:docPr id="83" name="Wykres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 xml:space="preserve">W 2019 r. najmniej nowych mieszkań oddano w Gminie Puchaczów oraz Cyców. W 2019 r. Gmina Puchaczów zaliczyła również bardzo duży spadek w ilości oddanych mieszkań w porównaniu do roku wcześniejszego. Najwięcej natomiast nowych mieszkań oddano do użytkowania w Gminie Ludwin oraz Milejów. Gmina Milejów jest również jedyną w której ilość mieszkań oddanych w 2019 r. jest wyższa niż </w:t>
      </w:r>
      <w:r>
        <w:rPr>
          <w:rFonts w:ascii="Times New Roman" w:hAnsi="Times New Roman" w:cs="Times New Roman"/>
        </w:rPr>
        <w:lastRenderedPageBreak/>
        <w:t>w 2015 r. W ciągu całego analizowanego okresu najwięcej mieszkań oddano w 2016 r. w Gminie Urszulin oraz w 2018 r. w Gminie Puchaczów, najmniej natomiast oddano w 2017 r. w Gminie Urszulin.</w:t>
      </w:r>
    </w:p>
    <w:p w:rsidR="00DC75FA" w:rsidRDefault="00887D84">
      <w:pPr>
        <w:pStyle w:val="aaapodpis"/>
        <w:spacing w:line="276" w:lineRule="auto"/>
      </w:pPr>
      <w:bookmarkStart w:id="125" w:name="_Toc75899500"/>
      <w:r>
        <w:t xml:space="preserve">Wykres </w:t>
      </w:r>
      <w:r>
        <w:fldChar w:fldCharType="begin"/>
      </w:r>
      <w:r>
        <w:instrText>SEQ Wykres \* ARABIC</w:instrText>
      </w:r>
      <w:r>
        <w:fldChar w:fldCharType="separate"/>
      </w:r>
      <w:r>
        <w:t>18</w:t>
      </w:r>
      <w:r>
        <w:fldChar w:fldCharType="end"/>
      </w:r>
      <w:r>
        <w:t>: Mieszkania oddane do użytkowania w poszczególnych JST OF w latach 2015-2019</w:t>
      </w:r>
      <w:bookmarkEnd w:id="125"/>
    </w:p>
    <w:p w:rsidR="00DC75FA" w:rsidRDefault="00887D84">
      <w:pPr>
        <w:pStyle w:val="aaardo"/>
      </w:pPr>
      <w:r>
        <w:rPr>
          <w:noProof/>
          <w:lang w:eastAsia="pl-PL"/>
        </w:rPr>
        <w:drawing>
          <wp:inline distT="0" distB="0" distL="0" distR="0" wp14:anchorId="49B50957" wp14:editId="41342872">
            <wp:extent cx="6120130" cy="2743200"/>
            <wp:effectExtent l="0" t="0" r="0" b="0"/>
            <wp:docPr id="84" name="Wykres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t xml:space="preserve"> Źródło: opracowanie własne na podstawie danych GUS – Bank Danych Lokalnych.</w:t>
      </w:r>
    </w:p>
    <w:p w:rsidR="00DC75FA" w:rsidRDefault="00887D84">
      <w:r>
        <w:br w:type="page"/>
      </w:r>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126" w:name="_Toc116896678"/>
      <w:r>
        <w:rPr>
          <w:rFonts w:ascii="Times New Roman" w:hAnsi="Times New Roman" w:cs="Times New Roman"/>
          <w:b/>
          <w:color w:val="5B9BD5" w:themeColor="accent1"/>
          <w:sz w:val="24"/>
          <w:szCs w:val="24"/>
        </w:rPr>
        <w:lastRenderedPageBreak/>
        <w:t>Infrastruktura sieciowa</w:t>
      </w:r>
      <w:bookmarkEnd w:id="126"/>
    </w:p>
    <w:p w:rsidR="00DC75FA" w:rsidRDefault="00887D84">
      <w:pPr>
        <w:ind w:firstLine="567"/>
        <w:jc w:val="both"/>
        <w:rPr>
          <w:rFonts w:ascii="Times New Roman" w:hAnsi="Times New Roman" w:cs="Times New Roman"/>
        </w:rPr>
      </w:pPr>
      <w:r>
        <w:rPr>
          <w:rFonts w:ascii="Times New Roman" w:hAnsi="Times New Roman" w:cs="Times New Roman"/>
        </w:rPr>
        <w:t>Od 2015 r. średnia długość sieci rozdzielczej (w tym wodociągowej, kanalizacyjnej i gazowej) w przeliczeniu na 100 km</w:t>
      </w:r>
      <w:r>
        <w:rPr>
          <w:rFonts w:ascii="Times New Roman" w:hAnsi="Times New Roman" w:cs="Times New Roman"/>
          <w:vertAlign w:val="superscript"/>
        </w:rPr>
        <w:t>2</w:t>
      </w:r>
      <w:r>
        <w:rPr>
          <w:rFonts w:ascii="Times New Roman" w:hAnsi="Times New Roman" w:cs="Times New Roman"/>
        </w:rPr>
        <w:t xml:space="preserve"> na terenie OF wzrastała – w 2018 r. sieć wodociągowa miała 109,6 km, sieć kanalizacyjna – 35,3 km, a sieć gazowa 20,2 km.</w:t>
      </w:r>
    </w:p>
    <w:p w:rsidR="00DC75FA" w:rsidRDefault="00887D84">
      <w:pPr>
        <w:pStyle w:val="aaapodpis"/>
        <w:spacing w:line="276" w:lineRule="auto"/>
      </w:pPr>
      <w:bookmarkStart w:id="127" w:name="_Toc75899501"/>
      <w:r>
        <w:t xml:space="preserve">Wykres </w:t>
      </w:r>
      <w:r>
        <w:fldChar w:fldCharType="begin"/>
      </w:r>
      <w:r>
        <w:instrText>SEQ Wykres \* ARABIC</w:instrText>
      </w:r>
      <w:r>
        <w:fldChar w:fldCharType="separate"/>
      </w:r>
      <w:r>
        <w:t>19</w:t>
      </w:r>
      <w:r>
        <w:fldChar w:fldCharType="end"/>
      </w:r>
      <w:r>
        <w:t>: Średnia długość sieci rozdzielczej na 100 km</w:t>
      </w:r>
      <w:r>
        <w:rPr>
          <w:vertAlign w:val="superscript"/>
        </w:rPr>
        <w:t>2</w:t>
      </w:r>
      <w:r>
        <w:t xml:space="preserve"> na obszarze OF w latach 2015-2018 (w km)</w:t>
      </w:r>
      <w:bookmarkEnd w:id="127"/>
    </w:p>
    <w:p w:rsidR="00DC75FA" w:rsidRDefault="00887D84">
      <w:pPr>
        <w:pStyle w:val="aaardo"/>
      </w:pPr>
      <w:r>
        <w:rPr>
          <w:noProof/>
          <w:lang w:eastAsia="pl-PL"/>
        </w:rPr>
        <w:drawing>
          <wp:inline distT="0" distB="0" distL="0" distR="0" wp14:anchorId="09006F17" wp14:editId="70B27861">
            <wp:extent cx="6120130" cy="2743200"/>
            <wp:effectExtent l="0" t="0" r="0" b="0"/>
            <wp:docPr id="85" name="Wykres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t xml:space="preserve"> 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analizowanym okresie nie zaszły zasadnicze zmiany długości sieci wodociągowej w gminach należących do obszaru funkcjonalnego. W 2018 r. w Gminie Milejów długość sieci rozdzielczej wodociągowej pozostała taka sama jak w 2015 r. Największa zmiana zaszła w Gminie Puchaczów, gdzie długość wzrosła o 3,3 km.</w:t>
      </w:r>
    </w:p>
    <w:p w:rsidR="00DC75FA" w:rsidRDefault="00887D84">
      <w:pPr>
        <w:pStyle w:val="aaapodpis"/>
        <w:spacing w:line="276" w:lineRule="auto"/>
      </w:pPr>
      <w:bookmarkStart w:id="128" w:name="_Toc75899502"/>
      <w:r>
        <w:t xml:space="preserve">Wykres </w:t>
      </w:r>
      <w:r>
        <w:fldChar w:fldCharType="begin"/>
      </w:r>
      <w:r>
        <w:instrText>SEQ Wykres \* ARABIC</w:instrText>
      </w:r>
      <w:r>
        <w:fldChar w:fldCharType="separate"/>
      </w:r>
      <w:r>
        <w:t>20</w:t>
      </w:r>
      <w:r>
        <w:fldChar w:fldCharType="end"/>
      </w:r>
      <w:r>
        <w:t>: Długość sieci rozdzielczej wodociągowej na 100 km</w:t>
      </w:r>
      <w:r>
        <w:rPr>
          <w:vertAlign w:val="superscript"/>
        </w:rPr>
        <w:t>2</w:t>
      </w:r>
      <w:r>
        <w:t xml:space="preserve"> w poszczególnych JST OF w latach 2015-2018 (w km)</w:t>
      </w:r>
      <w:bookmarkEnd w:id="128"/>
    </w:p>
    <w:p w:rsidR="00DC75FA" w:rsidRDefault="00887D84">
      <w:pPr>
        <w:pStyle w:val="aaardo"/>
      </w:pPr>
      <w:r>
        <w:rPr>
          <w:noProof/>
          <w:lang w:eastAsia="pl-PL"/>
        </w:rPr>
        <w:drawing>
          <wp:inline distT="0" distB="0" distL="0" distR="0" wp14:anchorId="09C115D5" wp14:editId="4F6F31C4">
            <wp:extent cx="6120130" cy="2743200"/>
            <wp:effectExtent l="0" t="0" r="0" b="0"/>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t xml:space="preserve"> 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 xml:space="preserve">Podobna sytuacja występuje w przypadku długości sieci rozdzielczej kanalizacyjnej. Jedyny zauważalny wzrost nastąpił w 2016 r. w Gminie Puchaczów (132,6 km). W następnych latach średnia </w:t>
      </w:r>
      <w:r>
        <w:rPr>
          <w:rFonts w:ascii="Times New Roman" w:hAnsi="Times New Roman" w:cs="Times New Roman"/>
        </w:rPr>
        <w:lastRenderedPageBreak/>
        <w:t>długość wróciła do stanu z 2015 r. Najmniejsza średnia długość sieci rozdzielczej kanalizacyjnej występuje w Gminie Milejów, która nie zmieniła się od 2015 r. Wartości niezmienne pozostały również w Gminie Cyców oraz Gminie Ludwin.</w:t>
      </w:r>
    </w:p>
    <w:p w:rsidR="00DC75FA" w:rsidRDefault="00887D84">
      <w:pPr>
        <w:pStyle w:val="aaapodpis"/>
        <w:spacing w:line="276" w:lineRule="auto"/>
      </w:pPr>
      <w:bookmarkStart w:id="129" w:name="_Toc75899503"/>
      <w:r>
        <w:t>Wykres 38: Długość sieci rozdzielczej kanalizacyjnej na 100 km</w:t>
      </w:r>
      <w:r>
        <w:rPr>
          <w:vertAlign w:val="superscript"/>
        </w:rPr>
        <w:t>2</w:t>
      </w:r>
      <w:r>
        <w:t xml:space="preserve"> w poszczególnych JST OF w latach 2015-2018 (w km)</w:t>
      </w:r>
      <w:bookmarkEnd w:id="129"/>
    </w:p>
    <w:p w:rsidR="00DC75FA" w:rsidRDefault="00887D84">
      <w:pPr>
        <w:pStyle w:val="aaardo"/>
      </w:pPr>
      <w:r>
        <w:rPr>
          <w:noProof/>
          <w:lang w:eastAsia="pl-PL"/>
        </w:rPr>
        <w:drawing>
          <wp:inline distT="0" distB="0" distL="0" distR="0" wp14:anchorId="77D51E8A" wp14:editId="46019B61">
            <wp:extent cx="6120130" cy="2743200"/>
            <wp:effectExtent l="0" t="0" r="0" b="0"/>
            <wp:docPr id="87" name="Wykres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t xml:space="preserve"> 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 xml:space="preserve">Na terenie OF sieć gazowa występuje w Gminie Puchaczów (50,6 km w 2019 r.), Gminie Ludwin (30,3 km) oraz Gminie Milejów (6,7 km). Pozostałe jednostki samorządu nie posiadają na swoim terenie gazu sieciowego. </w:t>
      </w:r>
    </w:p>
    <w:p w:rsidR="00DC75FA" w:rsidRDefault="00887D84">
      <w:pPr>
        <w:pStyle w:val="aaapodpis"/>
        <w:spacing w:line="276" w:lineRule="auto"/>
      </w:pPr>
      <w:bookmarkStart w:id="130" w:name="_Toc75899504"/>
      <w:r>
        <w:t>Wykres 39: Długość sieci rozdzielczej gazowej na 100 km</w:t>
      </w:r>
      <w:r>
        <w:rPr>
          <w:vertAlign w:val="superscript"/>
        </w:rPr>
        <w:t>2</w:t>
      </w:r>
      <w:r>
        <w:t xml:space="preserve"> w poszczególnych JST OF w latach 2015-2018 (w km)</w:t>
      </w:r>
      <w:bookmarkEnd w:id="130"/>
    </w:p>
    <w:p w:rsidR="00DC75FA" w:rsidRDefault="00887D84">
      <w:pPr>
        <w:pStyle w:val="aaardo"/>
      </w:pPr>
      <w:r>
        <w:rPr>
          <w:noProof/>
          <w:lang w:eastAsia="pl-PL"/>
        </w:rPr>
        <w:drawing>
          <wp:inline distT="0" distB="0" distL="0" distR="0" wp14:anchorId="46B2ACD5" wp14:editId="4F9D43FD">
            <wp:extent cx="6120130" cy="2743200"/>
            <wp:effectExtent l="0" t="0" r="0" b="0"/>
            <wp:docPr id="88" name="Wykres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t xml:space="preserve"> Źródło: opracowanie własne na podstawie danych GUS – Bank Danych Lokalnych.</w:t>
      </w:r>
    </w:p>
    <w:p w:rsidR="00DC75FA" w:rsidRDefault="00887D84">
      <w:pPr>
        <w:pStyle w:val="aaapodpis"/>
        <w:spacing w:line="276" w:lineRule="auto"/>
      </w:pPr>
      <w:bookmarkStart w:id="131" w:name="_Toc75899505"/>
      <w:r>
        <w:lastRenderedPageBreak/>
        <w:t>Wykres 40: Korzystający z instalacji w % ogółu ludności w poszczególnych JST OF w latach 2015-2018 (w %)</w:t>
      </w:r>
      <w:bookmarkEnd w:id="131"/>
    </w:p>
    <w:p w:rsidR="00DC75FA" w:rsidRDefault="00887D84">
      <w:pPr>
        <w:pStyle w:val="aaardo"/>
        <w:rPr>
          <w:rFonts w:cs="Times New Roman"/>
          <w:b/>
          <w:sz w:val="24"/>
          <w:szCs w:val="24"/>
          <w:highlight w:val="yellow"/>
        </w:rPr>
      </w:pPr>
      <w:r>
        <w:rPr>
          <w:noProof/>
          <w:lang w:eastAsia="pl-PL"/>
        </w:rPr>
        <w:drawing>
          <wp:inline distT="0" distB="0" distL="0" distR="0" wp14:anchorId="5F462E3B" wp14:editId="226867CD">
            <wp:extent cx="6119495" cy="5438775"/>
            <wp:effectExtent l="0" t="0" r="0" b="0"/>
            <wp:docPr id="89" name="Wykres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t xml:space="preserve"> Źródło: opracowanie własne na podstawie danych GUS – Bank Danych Lokalnych.</w:t>
      </w:r>
      <w:r>
        <w:br w:type="page"/>
      </w:r>
    </w:p>
    <w:p w:rsidR="00DC75FA" w:rsidRDefault="00887D84">
      <w:pPr>
        <w:pStyle w:val="Bezodstpw"/>
        <w:numPr>
          <w:ilvl w:val="1"/>
          <w:numId w:val="25"/>
        </w:numPr>
        <w:spacing w:after="240" w:line="276" w:lineRule="auto"/>
        <w:ind w:left="788" w:hanging="431"/>
        <w:jc w:val="both"/>
        <w:outlineLvl w:val="2"/>
        <w:rPr>
          <w:rFonts w:ascii="Times New Roman" w:hAnsi="Times New Roman" w:cs="Times New Roman"/>
          <w:b/>
          <w:color w:val="5B9BD5" w:themeColor="accent1"/>
          <w:sz w:val="24"/>
          <w:szCs w:val="24"/>
        </w:rPr>
      </w:pPr>
      <w:bookmarkStart w:id="132" w:name="_Toc116896679"/>
      <w:bookmarkStart w:id="133" w:name="_Toc105754713"/>
      <w:r>
        <w:rPr>
          <w:rFonts w:ascii="Times New Roman" w:hAnsi="Times New Roman" w:cs="Times New Roman"/>
          <w:b/>
          <w:color w:val="5B9BD5" w:themeColor="accent1"/>
          <w:sz w:val="24"/>
          <w:szCs w:val="24"/>
        </w:rPr>
        <w:lastRenderedPageBreak/>
        <w:t>AKTYWNOŚĆ GOSPODARCZA</w:t>
      </w:r>
      <w:bookmarkEnd w:id="132"/>
      <w:bookmarkEnd w:id="133"/>
    </w:p>
    <w:p w:rsidR="00DC75FA" w:rsidRDefault="00887D84">
      <w:pPr>
        <w:pStyle w:val="Bezodstpw"/>
        <w:numPr>
          <w:ilvl w:val="2"/>
          <w:numId w:val="25"/>
        </w:numPr>
        <w:spacing w:before="240" w:after="240" w:line="276" w:lineRule="auto"/>
        <w:contextualSpacing/>
        <w:jc w:val="both"/>
        <w:outlineLvl w:val="3"/>
        <w:rPr>
          <w:rFonts w:ascii="Times New Roman" w:hAnsi="Times New Roman" w:cs="Times New Roman"/>
          <w:b/>
          <w:color w:val="5B9BD5" w:themeColor="accent1"/>
          <w:sz w:val="24"/>
          <w:szCs w:val="24"/>
        </w:rPr>
      </w:pPr>
      <w:bookmarkStart w:id="134" w:name="_Toc116896680"/>
      <w:r>
        <w:rPr>
          <w:rFonts w:ascii="Times New Roman" w:hAnsi="Times New Roman" w:cs="Times New Roman"/>
          <w:b/>
          <w:color w:val="5B9BD5" w:themeColor="accent1"/>
          <w:sz w:val="24"/>
          <w:szCs w:val="24"/>
        </w:rPr>
        <w:t>Sektor rolniczy</w:t>
      </w:r>
      <w:bookmarkEnd w:id="134"/>
    </w:p>
    <w:p w:rsidR="00DC75FA" w:rsidRDefault="00887D84">
      <w:pPr>
        <w:pStyle w:val="NormalnyWeb"/>
        <w:spacing w:before="280" w:after="0" w:afterAutospacing="0" w:line="276" w:lineRule="auto"/>
        <w:ind w:firstLine="567"/>
        <w:jc w:val="both"/>
      </w:pPr>
      <w:r>
        <w:rPr>
          <w:szCs w:val="18"/>
        </w:rPr>
        <w:t xml:space="preserve">Na terenie OF obszary wykorzystywane rolniczo stanowią niemal 69% powierzchni ogółem. </w:t>
      </w:r>
      <w:r>
        <w:t>Z Powszechnego Spisu Rolnego</w:t>
      </w:r>
      <w:r>
        <w:rPr>
          <w:rStyle w:val="Zakotwiczenieprzypisudolnego"/>
        </w:rPr>
        <w:footnoteReference w:id="4"/>
      </w:r>
      <w:r>
        <w:t xml:space="preserve"> przeprowadzonego w 2010 r. (najnowsze dostępne dane) wynika, że na terenie OF istniało 6 457 gospodarstw domowych, z czego ponad 89% utrzymywało się z działalności rolniczej.</w:t>
      </w:r>
    </w:p>
    <w:p w:rsidR="00DC75FA" w:rsidRDefault="00887D84">
      <w:pPr>
        <w:pStyle w:val="aaapodpis"/>
        <w:spacing w:line="276" w:lineRule="auto"/>
      </w:pPr>
      <w:bookmarkStart w:id="135" w:name="_Toc75899290"/>
      <w:r>
        <w:t xml:space="preserve">Tabela </w:t>
      </w:r>
      <w:r>
        <w:fldChar w:fldCharType="begin"/>
      </w:r>
      <w:r>
        <w:instrText>SEQ Tabela \* ARABIC</w:instrText>
      </w:r>
      <w:r>
        <w:fldChar w:fldCharType="separate"/>
      </w:r>
      <w:r>
        <w:t>7</w:t>
      </w:r>
      <w:r>
        <w:fldChar w:fldCharType="end"/>
      </w:r>
      <w:r>
        <w:t>: Gospodarstwa domowe z dochodami z różnych źródeł</w:t>
      </w:r>
      <w:bookmarkEnd w:id="135"/>
    </w:p>
    <w:tbl>
      <w:tblPr>
        <w:tblStyle w:val="Jasnecieniowanieakcent11"/>
        <w:tblW w:w="5000" w:type="pct"/>
        <w:tblLook w:val="04A0" w:firstRow="1" w:lastRow="0" w:firstColumn="1" w:lastColumn="0" w:noHBand="0" w:noVBand="1"/>
      </w:tblPr>
      <w:tblGrid>
        <w:gridCol w:w="2665"/>
        <w:gridCol w:w="1199"/>
        <w:gridCol w:w="1198"/>
        <w:gridCol w:w="1198"/>
        <w:gridCol w:w="1198"/>
        <w:gridCol w:w="1198"/>
        <w:gridCol w:w="1198"/>
      </w:tblGrid>
      <w:tr w:rsidR="00DC75FA" w:rsidTr="00DC75F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5" w:type="dxa"/>
            <w:tcBorders>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b w:val="0"/>
                <w:bCs w:val="0"/>
                <w:sz w:val="18"/>
                <w:szCs w:val="18"/>
                <w:lang w:eastAsia="pl-PL"/>
              </w:rPr>
            </w:pPr>
          </w:p>
        </w:tc>
        <w:tc>
          <w:tcPr>
            <w:tcW w:w="1172"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Cyców</w:t>
            </w:r>
          </w:p>
        </w:tc>
        <w:tc>
          <w:tcPr>
            <w:tcW w:w="1172"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Ludwin</w:t>
            </w:r>
          </w:p>
        </w:tc>
        <w:tc>
          <w:tcPr>
            <w:tcW w:w="1172"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Milejów</w:t>
            </w:r>
          </w:p>
        </w:tc>
        <w:tc>
          <w:tcPr>
            <w:tcW w:w="1172"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Puchaczów</w:t>
            </w:r>
          </w:p>
        </w:tc>
        <w:tc>
          <w:tcPr>
            <w:tcW w:w="1172"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Urszulin</w:t>
            </w:r>
          </w:p>
        </w:tc>
        <w:tc>
          <w:tcPr>
            <w:tcW w:w="1172"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SUMA</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ogółem</w:t>
            </w:r>
          </w:p>
        </w:tc>
        <w:tc>
          <w:tcPr>
            <w:tcW w:w="1172"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1 483</w:t>
            </w:r>
          </w:p>
        </w:tc>
        <w:tc>
          <w:tcPr>
            <w:tcW w:w="1172"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1 077</w:t>
            </w:r>
          </w:p>
        </w:tc>
        <w:tc>
          <w:tcPr>
            <w:tcW w:w="1172"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1 560</w:t>
            </w:r>
          </w:p>
        </w:tc>
        <w:tc>
          <w:tcPr>
            <w:tcW w:w="1172"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1 134</w:t>
            </w:r>
          </w:p>
        </w:tc>
        <w:tc>
          <w:tcPr>
            <w:tcW w:w="1172"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1 203</w:t>
            </w:r>
          </w:p>
        </w:tc>
        <w:tc>
          <w:tcPr>
            <w:tcW w:w="1172"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6 457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z dochodem z działalności rolniczej</w:t>
            </w:r>
          </w:p>
        </w:tc>
        <w:tc>
          <w:tcPr>
            <w:tcW w:w="1172"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1 453</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949</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1 412</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1 035</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918</w:t>
            </w:r>
          </w:p>
        </w:tc>
        <w:tc>
          <w:tcPr>
            <w:tcW w:w="117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5 767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z dochodem z emerytury i renty</w:t>
            </w:r>
          </w:p>
        </w:tc>
        <w:tc>
          <w:tcPr>
            <w:tcW w:w="1172"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418</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271</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602</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237</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251</w:t>
            </w:r>
          </w:p>
        </w:tc>
        <w:tc>
          <w:tcPr>
            <w:tcW w:w="117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1 779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z dochodem z pozarolniczej działalności gospodarczej</w:t>
            </w:r>
          </w:p>
        </w:tc>
        <w:tc>
          <w:tcPr>
            <w:tcW w:w="1172"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362</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284</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246</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290</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114</w:t>
            </w:r>
          </w:p>
        </w:tc>
        <w:tc>
          <w:tcPr>
            <w:tcW w:w="117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1 296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z dochodem z pracy najemnej</w:t>
            </w:r>
          </w:p>
        </w:tc>
        <w:tc>
          <w:tcPr>
            <w:tcW w:w="1172"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599</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417</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723</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512</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353</w:t>
            </w:r>
          </w:p>
        </w:tc>
        <w:tc>
          <w:tcPr>
            <w:tcW w:w="117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2 604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z dochodem z innych niezarobkowych źródeł poza emeryturą i rentą</w:t>
            </w:r>
          </w:p>
        </w:tc>
        <w:tc>
          <w:tcPr>
            <w:tcW w:w="1172"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65</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71</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106</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w:t>
            </w:r>
          </w:p>
        </w:tc>
        <w:tc>
          <w:tcPr>
            <w:tcW w:w="117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bez dochodów z działalności rolniczej</w:t>
            </w:r>
          </w:p>
        </w:tc>
        <w:tc>
          <w:tcPr>
            <w:tcW w:w="1172"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128</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148</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99</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285</w:t>
            </w:r>
          </w:p>
        </w:tc>
        <w:tc>
          <w:tcPr>
            <w:tcW w:w="117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690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 xml:space="preserve">bez dochodów z emerytury </w:t>
            </w:r>
            <w:r>
              <w:rPr>
                <w:rFonts w:asciiTheme="majorHAnsi" w:eastAsia="Times New Roman" w:hAnsiTheme="majorHAnsi" w:cstheme="majorHAnsi"/>
                <w:b w:val="0"/>
                <w:bCs w:val="0"/>
                <w:sz w:val="18"/>
                <w:szCs w:val="18"/>
                <w:lang w:eastAsia="pl-PL"/>
              </w:rPr>
              <w:br/>
              <w:t>i renty</w:t>
            </w:r>
          </w:p>
        </w:tc>
        <w:tc>
          <w:tcPr>
            <w:tcW w:w="1172"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1 065</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806</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958</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897</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952</w:t>
            </w:r>
          </w:p>
        </w:tc>
        <w:tc>
          <w:tcPr>
            <w:tcW w:w="117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4 678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bez dochodów z pozarolniczej działalności gospodarczej</w:t>
            </w:r>
          </w:p>
        </w:tc>
        <w:tc>
          <w:tcPr>
            <w:tcW w:w="1172"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1 121</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793</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1 314</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844</w:t>
            </w:r>
          </w:p>
        </w:tc>
        <w:tc>
          <w:tcPr>
            <w:tcW w:w="117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1 089</w:t>
            </w:r>
          </w:p>
        </w:tc>
        <w:tc>
          <w:tcPr>
            <w:tcW w:w="1172"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5 161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bez dochodów z pracy najemnej</w:t>
            </w:r>
          </w:p>
        </w:tc>
        <w:tc>
          <w:tcPr>
            <w:tcW w:w="1172"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884</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660</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836</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622</w:t>
            </w:r>
          </w:p>
        </w:tc>
        <w:tc>
          <w:tcPr>
            <w:tcW w:w="117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850</w:t>
            </w:r>
          </w:p>
        </w:tc>
        <w:tc>
          <w:tcPr>
            <w:tcW w:w="117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3 852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bez dochodów z innych niezarobkowych źródeł poza emerytura i rentą</w:t>
            </w:r>
          </w:p>
        </w:tc>
        <w:tc>
          <w:tcPr>
            <w:tcW w:w="1172"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1 418</w:t>
            </w:r>
          </w:p>
        </w:tc>
        <w:tc>
          <w:tcPr>
            <w:tcW w:w="1172"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1 006</w:t>
            </w:r>
          </w:p>
        </w:tc>
        <w:tc>
          <w:tcPr>
            <w:tcW w:w="1172"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1 454</w:t>
            </w:r>
          </w:p>
        </w:tc>
        <w:tc>
          <w:tcPr>
            <w:tcW w:w="1172"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1 085</w:t>
            </w:r>
          </w:p>
        </w:tc>
        <w:tc>
          <w:tcPr>
            <w:tcW w:w="1172"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1 157</w:t>
            </w:r>
          </w:p>
        </w:tc>
        <w:tc>
          <w:tcPr>
            <w:tcW w:w="1172"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6 120</w:t>
            </w:r>
          </w:p>
        </w:tc>
      </w:tr>
    </w:tbl>
    <w:p w:rsidR="00DC75FA" w:rsidRDefault="00887D84">
      <w:pPr>
        <w:pStyle w:val="aaardo"/>
      </w:pPr>
      <w:r>
        <w:t>Źródło: Powszechny Spis Rolny 2010 wg siedziby gospodarstwa, Główny Urząd Statystyczny w Warszawie.</w:t>
      </w:r>
    </w:p>
    <w:p w:rsidR="00DC75FA" w:rsidRDefault="00887D84">
      <w:pPr>
        <w:ind w:firstLine="567"/>
        <w:rPr>
          <w:rFonts w:ascii="Times New Roman" w:hAnsi="Times New Roman" w:cs="Times New Roman"/>
          <w:highlight w:val="yellow"/>
        </w:rPr>
      </w:pPr>
      <w:r>
        <w:rPr>
          <w:rFonts w:ascii="Times New Roman" w:hAnsi="Times New Roman" w:cs="Times New Roman"/>
        </w:rPr>
        <w:t>Uprawą roślin zajmowało się 4 662 gospodarstw rolnych. W każdej z gmin wchodzących w skład OF wśród upraw dominowały zboża (4 257 gospodarstw) oraz ziemniaki (2 088 gospodarstw). Najrzadziej uprawiane były rzepak (136 gospodarstw) oraz strączkowe (80 gospodarstw).</w:t>
      </w:r>
    </w:p>
    <w:p w:rsidR="00DC75FA" w:rsidRDefault="00887D84">
      <w:pPr>
        <w:pStyle w:val="aaapodpis"/>
        <w:spacing w:line="276" w:lineRule="auto"/>
      </w:pPr>
      <w:bookmarkStart w:id="136" w:name="_Toc75899291"/>
      <w:r>
        <w:t xml:space="preserve">Tabela </w:t>
      </w:r>
      <w:r>
        <w:fldChar w:fldCharType="begin"/>
      </w:r>
      <w:r>
        <w:instrText>SEQ Tabela \* ARABIC</w:instrText>
      </w:r>
      <w:r>
        <w:fldChar w:fldCharType="separate"/>
      </w:r>
      <w:r>
        <w:t>8</w:t>
      </w:r>
      <w:r>
        <w:fldChar w:fldCharType="end"/>
      </w:r>
      <w:r>
        <w:t>: Gospodarstwa z uprawą wg rodzaju i powierzchni zasiewów</w:t>
      </w:r>
      <w:bookmarkEnd w:id="136"/>
    </w:p>
    <w:tbl>
      <w:tblPr>
        <w:tblStyle w:val="Jasnecieniowanieakcent11"/>
        <w:tblW w:w="5000" w:type="pct"/>
        <w:tblLook w:val="04A0" w:firstRow="1" w:lastRow="0" w:firstColumn="1" w:lastColumn="0" w:noHBand="0" w:noVBand="1"/>
      </w:tblPr>
      <w:tblGrid>
        <w:gridCol w:w="2290"/>
        <w:gridCol w:w="1262"/>
        <w:gridCol w:w="1262"/>
        <w:gridCol w:w="1261"/>
        <w:gridCol w:w="1262"/>
        <w:gridCol w:w="1261"/>
        <w:gridCol w:w="1256"/>
      </w:tblGrid>
      <w:tr w:rsidR="00DC75FA" w:rsidTr="00DC75F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1" w:type="dxa"/>
            <w:tcBorders>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b w:val="0"/>
                <w:bCs w:val="0"/>
                <w:sz w:val="18"/>
                <w:szCs w:val="18"/>
                <w:lang w:eastAsia="pl-PL"/>
              </w:rPr>
            </w:pPr>
          </w:p>
        </w:tc>
        <w:tc>
          <w:tcPr>
            <w:tcW w:w="1234"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Cyców</w:t>
            </w:r>
          </w:p>
        </w:tc>
        <w:tc>
          <w:tcPr>
            <w:tcW w:w="123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Ludwin</w:t>
            </w:r>
          </w:p>
        </w:tc>
        <w:tc>
          <w:tcPr>
            <w:tcW w:w="1233"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Milejów</w:t>
            </w:r>
          </w:p>
        </w:tc>
        <w:tc>
          <w:tcPr>
            <w:tcW w:w="123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Puchaczów</w:t>
            </w:r>
          </w:p>
        </w:tc>
        <w:tc>
          <w:tcPr>
            <w:tcW w:w="1233"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Urszulin</w:t>
            </w:r>
          </w:p>
        </w:tc>
        <w:tc>
          <w:tcPr>
            <w:tcW w:w="1228"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SUMA</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ogółem</w:t>
            </w:r>
          </w:p>
        </w:tc>
        <w:tc>
          <w:tcPr>
            <w:tcW w:w="1234"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1 149</w:t>
            </w:r>
          </w:p>
        </w:tc>
        <w:tc>
          <w:tcPr>
            <w:tcW w:w="123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853</w:t>
            </w:r>
          </w:p>
        </w:tc>
        <w:tc>
          <w:tcPr>
            <w:tcW w:w="123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1 061</w:t>
            </w:r>
          </w:p>
        </w:tc>
        <w:tc>
          <w:tcPr>
            <w:tcW w:w="123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876</w:t>
            </w:r>
          </w:p>
        </w:tc>
        <w:tc>
          <w:tcPr>
            <w:tcW w:w="123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723</w:t>
            </w:r>
          </w:p>
        </w:tc>
        <w:tc>
          <w:tcPr>
            <w:tcW w:w="1228"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4 662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241"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zboża razem</w:t>
            </w:r>
          </w:p>
        </w:tc>
        <w:tc>
          <w:tcPr>
            <w:tcW w:w="1234"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1 058</w:t>
            </w:r>
          </w:p>
        </w:tc>
        <w:tc>
          <w:tcPr>
            <w:tcW w:w="123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808</w:t>
            </w:r>
          </w:p>
        </w:tc>
        <w:tc>
          <w:tcPr>
            <w:tcW w:w="123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934</w:t>
            </w:r>
          </w:p>
        </w:tc>
        <w:tc>
          <w:tcPr>
            <w:tcW w:w="123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819</w:t>
            </w:r>
          </w:p>
        </w:tc>
        <w:tc>
          <w:tcPr>
            <w:tcW w:w="123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638</w:t>
            </w:r>
          </w:p>
        </w:tc>
        <w:tc>
          <w:tcPr>
            <w:tcW w:w="1228"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4 257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1"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zboża podstawowe z mieszankami zbożowymi</w:t>
            </w:r>
          </w:p>
        </w:tc>
        <w:tc>
          <w:tcPr>
            <w:tcW w:w="1234"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1 044</w:t>
            </w:r>
          </w:p>
        </w:tc>
        <w:tc>
          <w:tcPr>
            <w:tcW w:w="123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799</w:t>
            </w:r>
          </w:p>
        </w:tc>
        <w:tc>
          <w:tcPr>
            <w:tcW w:w="123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924</w:t>
            </w:r>
          </w:p>
        </w:tc>
        <w:tc>
          <w:tcPr>
            <w:tcW w:w="123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791</w:t>
            </w:r>
          </w:p>
        </w:tc>
        <w:tc>
          <w:tcPr>
            <w:tcW w:w="123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629</w:t>
            </w:r>
          </w:p>
        </w:tc>
        <w:tc>
          <w:tcPr>
            <w:tcW w:w="1228"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4 187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241"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ziemniaki</w:t>
            </w:r>
          </w:p>
        </w:tc>
        <w:tc>
          <w:tcPr>
            <w:tcW w:w="1234"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458</w:t>
            </w:r>
          </w:p>
        </w:tc>
        <w:tc>
          <w:tcPr>
            <w:tcW w:w="123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439</w:t>
            </w:r>
          </w:p>
        </w:tc>
        <w:tc>
          <w:tcPr>
            <w:tcW w:w="123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464</w:t>
            </w:r>
          </w:p>
        </w:tc>
        <w:tc>
          <w:tcPr>
            <w:tcW w:w="123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426</w:t>
            </w:r>
          </w:p>
        </w:tc>
        <w:tc>
          <w:tcPr>
            <w:tcW w:w="123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301</w:t>
            </w:r>
          </w:p>
        </w:tc>
        <w:tc>
          <w:tcPr>
            <w:tcW w:w="1228"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2 088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1"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uprawy przemysłowe</w:t>
            </w:r>
          </w:p>
        </w:tc>
        <w:tc>
          <w:tcPr>
            <w:tcW w:w="1234"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95</w:t>
            </w:r>
          </w:p>
        </w:tc>
        <w:tc>
          <w:tcPr>
            <w:tcW w:w="123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61</w:t>
            </w:r>
          </w:p>
        </w:tc>
        <w:tc>
          <w:tcPr>
            <w:tcW w:w="123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90</w:t>
            </w:r>
          </w:p>
        </w:tc>
        <w:tc>
          <w:tcPr>
            <w:tcW w:w="123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85</w:t>
            </w:r>
          </w:p>
        </w:tc>
        <w:tc>
          <w:tcPr>
            <w:tcW w:w="123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63</w:t>
            </w:r>
          </w:p>
        </w:tc>
        <w:tc>
          <w:tcPr>
            <w:tcW w:w="1228"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241"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buraki cukrowe</w:t>
            </w:r>
          </w:p>
        </w:tc>
        <w:tc>
          <w:tcPr>
            <w:tcW w:w="1234"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23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w:t>
            </w:r>
          </w:p>
        </w:tc>
        <w:tc>
          <w:tcPr>
            <w:tcW w:w="123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65</w:t>
            </w:r>
          </w:p>
        </w:tc>
        <w:tc>
          <w:tcPr>
            <w:tcW w:w="123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62</w:t>
            </w:r>
          </w:p>
        </w:tc>
        <w:tc>
          <w:tcPr>
            <w:tcW w:w="123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228"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1"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rzepak i rzepik razem</w:t>
            </w:r>
          </w:p>
        </w:tc>
        <w:tc>
          <w:tcPr>
            <w:tcW w:w="1234"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w:t>
            </w:r>
          </w:p>
        </w:tc>
        <w:tc>
          <w:tcPr>
            <w:tcW w:w="123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w:t>
            </w:r>
          </w:p>
        </w:tc>
        <w:tc>
          <w:tcPr>
            <w:tcW w:w="123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w:t>
            </w:r>
          </w:p>
        </w:tc>
        <w:tc>
          <w:tcPr>
            <w:tcW w:w="123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w:t>
            </w:r>
          </w:p>
        </w:tc>
        <w:tc>
          <w:tcPr>
            <w:tcW w:w="123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228"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136</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241"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strączkowe jadalne na ziarno razem</w:t>
            </w:r>
          </w:p>
        </w:tc>
        <w:tc>
          <w:tcPr>
            <w:tcW w:w="1234"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23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w:t>
            </w:r>
          </w:p>
        </w:tc>
        <w:tc>
          <w:tcPr>
            <w:tcW w:w="123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w:t>
            </w:r>
          </w:p>
        </w:tc>
        <w:tc>
          <w:tcPr>
            <w:tcW w:w="123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23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228"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41"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b w:val="0"/>
                <w:bCs w:val="0"/>
                <w:sz w:val="18"/>
                <w:szCs w:val="18"/>
                <w:lang w:eastAsia="pl-PL"/>
              </w:rPr>
            </w:pPr>
            <w:r>
              <w:rPr>
                <w:rFonts w:asciiTheme="majorHAnsi" w:eastAsia="Times New Roman" w:hAnsiTheme="majorHAnsi" w:cstheme="majorHAnsi"/>
                <w:b w:val="0"/>
                <w:bCs w:val="0"/>
                <w:sz w:val="18"/>
                <w:szCs w:val="18"/>
                <w:lang w:eastAsia="pl-PL"/>
              </w:rPr>
              <w:t>warzywa gruntowe</w:t>
            </w:r>
          </w:p>
        </w:tc>
        <w:tc>
          <w:tcPr>
            <w:tcW w:w="1234"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w:t>
            </w:r>
          </w:p>
        </w:tc>
        <w:tc>
          <w:tcPr>
            <w:tcW w:w="123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153</w:t>
            </w:r>
          </w:p>
        </w:tc>
        <w:tc>
          <w:tcPr>
            <w:tcW w:w="1233"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227</w:t>
            </w:r>
          </w:p>
        </w:tc>
        <w:tc>
          <w:tcPr>
            <w:tcW w:w="123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152</w:t>
            </w:r>
          </w:p>
        </w:tc>
        <w:tc>
          <w:tcPr>
            <w:tcW w:w="1233"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w:t>
            </w:r>
          </w:p>
        </w:tc>
        <w:tc>
          <w:tcPr>
            <w:tcW w:w="1228"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608</w:t>
            </w:r>
          </w:p>
        </w:tc>
      </w:tr>
    </w:tbl>
    <w:p w:rsidR="00DC75FA" w:rsidRDefault="00887D84">
      <w:pPr>
        <w:pStyle w:val="aaardo"/>
      </w:pPr>
      <w:r>
        <w:t>Źródło: Powszechny Spis Rolny 2010 wg siedziby gospodarstwa, Główny Urząd Statystyczny w Warszawie.</w:t>
      </w:r>
    </w:p>
    <w:p w:rsidR="00DC75FA" w:rsidRDefault="00887D84">
      <w:pPr>
        <w:ind w:firstLine="567"/>
        <w:jc w:val="both"/>
        <w:rPr>
          <w:rFonts w:ascii="Times New Roman" w:hAnsi="Times New Roman" w:cs="Times New Roman"/>
        </w:rPr>
      </w:pPr>
      <w:r>
        <w:rPr>
          <w:rFonts w:ascii="Times New Roman" w:hAnsi="Times New Roman" w:cs="Times New Roman"/>
        </w:rPr>
        <w:lastRenderedPageBreak/>
        <w:t>W ogólnej liczbie gospodarstw rolnych, gospodarstwa o powierzchni powyżej 15 ha stanowiły 38%gospodarstw i to one nie znacznie dominują w powierzchni gospodarstw rolnych. Wyróżniają się również gospodarstwa o powierzchni do 1 ha włącznie, które stanowiły jedynie 2% wszystkich gospodarstw.</w:t>
      </w:r>
    </w:p>
    <w:p w:rsidR="00DC75FA" w:rsidRDefault="00887D84">
      <w:pPr>
        <w:pStyle w:val="aaapodpis"/>
        <w:spacing w:line="276" w:lineRule="auto"/>
      </w:pPr>
      <w:bookmarkStart w:id="137" w:name="_Toc75899506"/>
      <w:r>
        <w:t>Wykres 41: Powierzchnia gospodarstw rolnych wg grup obszarowych użytków rolnych (ha) na obszarze OF w 2010 r.</w:t>
      </w:r>
      <w:bookmarkEnd w:id="137"/>
    </w:p>
    <w:p w:rsidR="00DC75FA" w:rsidRDefault="00887D84">
      <w:pPr>
        <w:pStyle w:val="aaardo"/>
        <w:jc w:val="center"/>
      </w:pPr>
      <w:r>
        <w:rPr>
          <w:noProof/>
          <w:lang w:eastAsia="pl-PL"/>
        </w:rPr>
        <w:drawing>
          <wp:inline distT="0" distB="0" distL="0" distR="0" wp14:anchorId="46611D62" wp14:editId="16B10F26">
            <wp:extent cx="4594860" cy="2381250"/>
            <wp:effectExtent l="0" t="0" r="0" b="0"/>
            <wp:docPr id="90" name="Wykres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DC75FA" w:rsidRDefault="00887D84">
      <w:pPr>
        <w:pStyle w:val="aaardo"/>
      </w:pPr>
      <w:r>
        <w:t>Źródło: Powszechny Spis Rolny 2010 wg siedziby gospodarstwa, Główny Urząd Statystyczny w Warszawie.</w:t>
      </w:r>
    </w:p>
    <w:p w:rsidR="00DC75FA" w:rsidRDefault="00887D84">
      <w:pPr>
        <w:ind w:firstLine="567"/>
        <w:jc w:val="both"/>
        <w:rPr>
          <w:rFonts w:ascii="Times New Roman" w:hAnsi="Times New Roman" w:cs="Times New Roman"/>
        </w:rPr>
      </w:pPr>
      <w:r>
        <w:rPr>
          <w:rFonts w:ascii="Times New Roman" w:hAnsi="Times New Roman" w:cs="Times New Roman"/>
        </w:rPr>
        <w:t>Gmina Cyców wyróżnia się spośród wszystkich gmin OF łączna powierzchnią gospodarstw rolnych – 13 853,82 ha, z czego ponad 50% to gospodarstwa rolne powyżej 15 ha. Najmniejszą powierzchnię gospodarstw rolnych posiada Gmina Puchaczów – 6 486,57 ha. Dominują w niej gospodarstwa 5-10 ha oraz te powyżej 15 ha. Gmina Ludwin posiada gospodarstwa o łącznej powierzchni 7 458,39 ha, z czego 30% to gospodarstwa o powierzchni 5-10 ha. Gmina Milejów z łączna powierzchnią 6 706,85 ha jest jedyną, w której dominują stosunkowo niewielkie gospodarstwa o powierzchni 1-5 ha. W Gminie Urszulin, podobnie jak w Gminie Cyców dominują największe gospodarstwa o powierzchni 15 i więcej ha (42%).</w:t>
      </w:r>
    </w:p>
    <w:p w:rsidR="00DC75FA" w:rsidRDefault="00887D84">
      <w:pPr>
        <w:pStyle w:val="aaapodpis"/>
        <w:spacing w:line="276" w:lineRule="auto"/>
      </w:pPr>
      <w:bookmarkStart w:id="138" w:name="_Toc75899507"/>
      <w:r>
        <w:t xml:space="preserve">Wykres </w:t>
      </w:r>
      <w:r>
        <w:fldChar w:fldCharType="begin"/>
      </w:r>
      <w:r>
        <w:instrText>SEQ Wykres \* ARABIC</w:instrText>
      </w:r>
      <w:r>
        <w:fldChar w:fldCharType="separate"/>
      </w:r>
      <w:r>
        <w:t>21</w:t>
      </w:r>
      <w:r>
        <w:fldChar w:fldCharType="end"/>
      </w:r>
      <w:r>
        <w:t>: Powierzchnia gospodarstw rolnych wg grup obszarowych użytków rolnych (ha) w poszczególnych JST OF w 2010 r.</w:t>
      </w:r>
      <w:bookmarkEnd w:id="138"/>
    </w:p>
    <w:p w:rsidR="00DC75FA" w:rsidRDefault="00887D84">
      <w:pPr>
        <w:pStyle w:val="aaardo"/>
      </w:pPr>
      <w:r>
        <w:rPr>
          <w:noProof/>
          <w:lang w:eastAsia="pl-PL"/>
        </w:rPr>
        <w:drawing>
          <wp:inline distT="0" distB="0" distL="0" distR="0" wp14:anchorId="219ED06A" wp14:editId="64AE4168">
            <wp:extent cx="6120130" cy="3148965"/>
            <wp:effectExtent l="0" t="0" r="0" b="0"/>
            <wp:docPr id="91" name="Wykres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t>Źródło: Powszechny Spis Rolny 2010 wg siedziby gospodarstwa, Główny Urząd Statystyczny w Warszawie.</w:t>
      </w:r>
    </w:p>
    <w:p w:rsidR="00DC75FA" w:rsidRDefault="00887D84">
      <w:pPr>
        <w:pStyle w:val="Bezodstpw"/>
        <w:numPr>
          <w:ilvl w:val="2"/>
          <w:numId w:val="25"/>
        </w:numPr>
        <w:spacing w:before="240" w:after="240" w:line="276" w:lineRule="auto"/>
        <w:contextualSpacing/>
        <w:jc w:val="both"/>
        <w:outlineLvl w:val="3"/>
        <w:rPr>
          <w:rFonts w:ascii="Times New Roman" w:hAnsi="Times New Roman" w:cs="Times New Roman"/>
          <w:b/>
          <w:color w:val="5B9BD5" w:themeColor="accent1"/>
          <w:sz w:val="24"/>
          <w:szCs w:val="24"/>
        </w:rPr>
      </w:pPr>
      <w:bookmarkStart w:id="139" w:name="_Toc116896681"/>
      <w:r>
        <w:rPr>
          <w:rFonts w:ascii="Times New Roman" w:hAnsi="Times New Roman" w:cs="Times New Roman"/>
          <w:b/>
          <w:color w:val="5B9BD5" w:themeColor="accent1"/>
          <w:sz w:val="24"/>
          <w:szCs w:val="24"/>
        </w:rPr>
        <w:t>Sektor przedsiębiorstw</w:t>
      </w:r>
      <w:bookmarkEnd w:id="139"/>
    </w:p>
    <w:p w:rsidR="00DC75FA" w:rsidRDefault="00887D84">
      <w:pPr>
        <w:ind w:firstLine="567"/>
        <w:jc w:val="both"/>
        <w:rPr>
          <w:rFonts w:ascii="Times New Roman" w:hAnsi="Times New Roman" w:cs="Times New Roman"/>
          <w:highlight w:val="yellow"/>
        </w:rPr>
      </w:pPr>
      <w:r>
        <w:rPr>
          <w:rFonts w:ascii="Times New Roman" w:hAnsi="Times New Roman" w:cs="Times New Roman"/>
        </w:rPr>
        <w:lastRenderedPageBreak/>
        <w:t>W latach 2015–2019 liczba podmiotów gospodarczych wpisanych do rejestru REGON na terenie OF wzrosła z poziomu 1 665 do 1 868, wykazując tym samym tempo wzrostu na poziomie 12%. Biorąc pod uwagę strukturę własności zdecydowanie dominowały przedsiębiorstwa z sektora prywatnego – w 2019 r. stanowiły 94% ogółu przedsiębiorstw.</w:t>
      </w:r>
    </w:p>
    <w:p w:rsidR="00DC75FA" w:rsidRDefault="00887D84">
      <w:pPr>
        <w:pStyle w:val="aaapodpis"/>
        <w:spacing w:line="276" w:lineRule="auto"/>
      </w:pPr>
      <w:bookmarkStart w:id="140" w:name="_Toc75899508"/>
      <w:r>
        <w:t>Wykres 43: Podmioty gospodarki narodowej wpisane do rejestru REGON na obszarze OF w latach 2015-2019</w:t>
      </w:r>
      <w:bookmarkEnd w:id="140"/>
    </w:p>
    <w:p w:rsidR="00DC75FA" w:rsidRDefault="00887D84">
      <w:pPr>
        <w:pStyle w:val="aaardo"/>
      </w:pPr>
      <w:r>
        <w:rPr>
          <w:noProof/>
          <w:lang w:eastAsia="pl-PL"/>
        </w:rPr>
        <w:drawing>
          <wp:inline distT="0" distB="0" distL="0" distR="0" wp14:anchorId="0C1016E4" wp14:editId="604ACFB7">
            <wp:extent cx="6120130" cy="2743200"/>
            <wp:effectExtent l="0" t="0" r="0" b="0"/>
            <wp:docPr id="92" name="Wykres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highlight w:val="yellow"/>
        </w:rPr>
      </w:pPr>
      <w:r>
        <w:rPr>
          <w:rFonts w:ascii="Times New Roman" w:hAnsi="Times New Roman" w:cs="Times New Roman"/>
        </w:rPr>
        <w:t>Najwięcej podmiotów gospodarczych zarejestrowanych było na terenie Gminy Milejów (w 2019 r. stanowiły  prawie 30% wszystkich podmiotów zarejestrowanych na terenie OF) i Gminy Puchaczów (w 2019 r. stanowiły 20% wszystkich podmiotów zarejestrowanych na terenie OF). W poszczególnych gminach nie widać dużych wzrostów w ilości podmiotów gospodarczych. W analizowanym okresie najwięcej ich przybyło w Gminie Milejów (74 podmioty więcej) oraz Gminie Ludwin (57). Najmniej podmiotów przybyło w Gminie Cyców, od 2015 r. ich ilość wzrosła tylko o 11 podmiotów.</w:t>
      </w:r>
    </w:p>
    <w:p w:rsidR="00DC75FA" w:rsidRDefault="00887D84">
      <w:pPr>
        <w:pStyle w:val="aaapodpis"/>
        <w:spacing w:line="276" w:lineRule="auto"/>
      </w:pPr>
      <w:bookmarkStart w:id="141" w:name="_Toc75899509"/>
      <w:r>
        <w:t>Wykres 44: Podmioty gospodarki narodowej ogółem wpisane do rejestru REGON w poszczególnych JST OF w latach 2015-2019</w:t>
      </w:r>
      <w:bookmarkEnd w:id="141"/>
    </w:p>
    <w:p w:rsidR="00DC75FA" w:rsidRDefault="00887D84">
      <w:pPr>
        <w:pStyle w:val="aaardo"/>
      </w:pPr>
      <w:r>
        <w:rPr>
          <w:noProof/>
          <w:lang w:eastAsia="pl-PL"/>
        </w:rPr>
        <w:drawing>
          <wp:inline distT="0" distB="0" distL="0" distR="0" wp14:anchorId="310F83BC" wp14:editId="3B3D9E7C">
            <wp:extent cx="6120130" cy="2371725"/>
            <wp:effectExtent l="0" t="0" r="0" b="0"/>
            <wp:docPr id="93" name="Wykres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t>Źródło: opracowanie własne na podstawie danych GUS – Bank Danych Lokalnych.</w:t>
      </w:r>
    </w:p>
    <w:p w:rsidR="00DC75FA" w:rsidRDefault="00887D84">
      <w:pPr>
        <w:pStyle w:val="aaapodpis"/>
        <w:spacing w:line="276" w:lineRule="auto"/>
      </w:pPr>
      <w:bookmarkStart w:id="142" w:name="_Hlk48420780"/>
      <w:bookmarkStart w:id="143" w:name="_Toc75899510"/>
      <w:r>
        <w:lastRenderedPageBreak/>
        <w:t xml:space="preserve">Wykres </w:t>
      </w:r>
      <w:r>
        <w:fldChar w:fldCharType="begin"/>
      </w:r>
      <w:r>
        <w:instrText>SEQ Wykres \* ARABIC</w:instrText>
      </w:r>
      <w:r>
        <w:fldChar w:fldCharType="separate"/>
      </w:r>
      <w:r>
        <w:t>22</w:t>
      </w:r>
      <w:r>
        <w:fldChar w:fldCharType="end"/>
      </w:r>
      <w:r>
        <w:t xml:space="preserve">: </w:t>
      </w:r>
      <w:bookmarkEnd w:id="142"/>
      <w:r>
        <w:t>Podmioty gospodarki narodowej wg sektorów własności wpisane do rejestru REGON w poszczególnych JST OF w latach 2015-2019</w:t>
      </w:r>
      <w:bookmarkEnd w:id="143"/>
    </w:p>
    <w:p w:rsidR="00DC75FA" w:rsidRDefault="00887D84">
      <w:pPr>
        <w:pStyle w:val="aaardo"/>
      </w:pPr>
      <w:r>
        <w:rPr>
          <w:noProof/>
          <w:lang w:eastAsia="pl-PL"/>
        </w:rPr>
        <w:drawing>
          <wp:inline distT="0" distB="0" distL="0" distR="0" wp14:anchorId="45F5D70F" wp14:editId="03483664">
            <wp:extent cx="6120130" cy="3127375"/>
            <wp:effectExtent l="0" t="0" r="0" b="0"/>
            <wp:docPr id="94" name="Wykres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t>Źródło: opracowanie własne na podstawie danych GUS – Bank Danych Lokalnych.</w:t>
      </w:r>
    </w:p>
    <w:p w:rsidR="00DC75FA" w:rsidRDefault="00887D84">
      <w:pPr>
        <w:jc w:val="both"/>
        <w:rPr>
          <w:rFonts w:ascii="Times New Roman" w:hAnsi="Times New Roman" w:cs="Times New Roman"/>
        </w:rPr>
      </w:pPr>
      <w:r>
        <w:rPr>
          <w:rFonts w:ascii="Times New Roman" w:hAnsi="Times New Roman" w:cs="Times New Roman"/>
        </w:rPr>
        <w:t>Analiza struktury sektora przedsiębiorstw pod względem klas wielkości pokazuje, że dominującą grupą przedsiębiorstw w latach 2015–2019 były mikroprzedsiębiorstwa, zatrudniające do 9 pracowników, które w 2019 r. stanowiły 95,9% wszystkich przedsiębiorstw. Należy przy tym zauważyć, że ich liczba wzrastała z roku na rok i w 2019 r. była o 12,6% większa niż w 2015 r. Drugą grupą pod względem liczebności w strukturze przedsiębiorstw wg klas wielkości były przedsiębiorstwa małe, stanowiące w 2019 r. 3,2% ogółu przedsiębiorstw. W całym obszarze funkcjonalnym znajduje się tylko jeden podmiot zatrudniający powyżej 1 000 pracowników.</w:t>
      </w:r>
    </w:p>
    <w:p w:rsidR="00DC75FA" w:rsidRDefault="00887D84">
      <w:pPr>
        <w:rPr>
          <w:highlight w:val="yellow"/>
        </w:rPr>
      </w:pPr>
      <w:r>
        <w:rPr>
          <w:highlight w:val="yellow"/>
        </w:rPr>
        <w:t xml:space="preserve"> </w:t>
      </w:r>
    </w:p>
    <w:p w:rsidR="00DC75FA" w:rsidRDefault="00887D84">
      <w:pPr>
        <w:rPr>
          <w:b/>
          <w:bCs/>
          <w:color w:val="5B9BD5" w:themeColor="accent1"/>
          <w:sz w:val="20"/>
          <w:szCs w:val="18"/>
        </w:rPr>
      </w:pPr>
      <w:bookmarkStart w:id="144" w:name="_Toc75899511"/>
      <w:r>
        <w:rPr>
          <w:b/>
          <w:bCs/>
          <w:color w:val="5B9BD5" w:themeColor="accent1"/>
          <w:sz w:val="20"/>
          <w:szCs w:val="18"/>
        </w:rPr>
        <w:t>Wykres 46: Podmioty gospodarcze wpisane do rejestru REGON wg klas wielkości na obszarze OF w latach 2015-2019</w:t>
      </w:r>
      <w:bookmarkEnd w:id="144"/>
    </w:p>
    <w:p w:rsidR="00DC75FA" w:rsidRDefault="00887D84">
      <w:pPr>
        <w:pStyle w:val="aaardo"/>
      </w:pPr>
      <w:r>
        <w:rPr>
          <w:noProof/>
          <w:lang w:eastAsia="pl-PL"/>
        </w:rPr>
        <w:drawing>
          <wp:inline distT="0" distB="0" distL="0" distR="0" wp14:anchorId="045B48F0" wp14:editId="3D09D1EB">
            <wp:extent cx="6120130" cy="2743200"/>
            <wp:effectExtent l="0" t="0" r="0" b="0"/>
            <wp:docPr id="95" name="Wykres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 xml:space="preserve">Każda z Gmin OF zwiększyła ilość mikroprzedsiębiorstw oraz podmiotów zatrudniających do 49 osób (poza Gminą Ludwin, która w tej kategorii zmniejszyła ilość podmiotów o -27%). Na terenie OF nie ma </w:t>
      </w:r>
      <w:r>
        <w:rPr>
          <w:rFonts w:ascii="Times New Roman" w:hAnsi="Times New Roman" w:cs="Times New Roman"/>
        </w:rPr>
        <w:lastRenderedPageBreak/>
        <w:t>przedsiębiorstw klasy wielkości: 250-999 pracowników. W analizowanym okresie zakończył działalność jedyny taki podmiot, który w 2015 r. działał na terenie Gminy Milejów. Jednocześnie na całym obszarze funkcjonalnym działa jeden podmiot zatrudniający powyżej 1 000 pracowników i jest do Kopalnia Węgla Bogdanka, działająca na terenie Gminy Puchaczów.</w:t>
      </w:r>
    </w:p>
    <w:p w:rsidR="00DC75FA" w:rsidRDefault="00887D84">
      <w:pPr>
        <w:pStyle w:val="aaapodpis"/>
        <w:spacing w:line="276" w:lineRule="auto"/>
      </w:pPr>
      <w:bookmarkStart w:id="145" w:name="_Toc75899292"/>
      <w:r>
        <w:t xml:space="preserve">Tabela </w:t>
      </w:r>
      <w:r>
        <w:fldChar w:fldCharType="begin"/>
      </w:r>
      <w:r>
        <w:instrText>SEQ Tabela \* ARABIC</w:instrText>
      </w:r>
      <w:r>
        <w:fldChar w:fldCharType="separate"/>
      </w:r>
      <w:r>
        <w:t>9</w:t>
      </w:r>
      <w:r>
        <w:fldChar w:fldCharType="end"/>
      </w:r>
      <w:r>
        <w:t>: Podmioty gospodarcze wpisane do rejestru REGON wg klas wielkości w poszczególnych JST OF w latach 2015-2019</w:t>
      </w:r>
      <w:bookmarkEnd w:id="145"/>
    </w:p>
    <w:tbl>
      <w:tblPr>
        <w:tblStyle w:val="Jasnecieniowanieakcent11"/>
        <w:tblW w:w="5000" w:type="pct"/>
        <w:tblLook w:val="04A0" w:firstRow="1" w:lastRow="0" w:firstColumn="1" w:lastColumn="0" w:noHBand="0" w:noVBand="1"/>
      </w:tblPr>
      <w:tblGrid>
        <w:gridCol w:w="1587"/>
        <w:gridCol w:w="1298"/>
        <w:gridCol w:w="1407"/>
        <w:gridCol w:w="1407"/>
        <w:gridCol w:w="1408"/>
        <w:gridCol w:w="1408"/>
        <w:gridCol w:w="1339"/>
      </w:tblGrid>
      <w:tr w:rsidR="00DC75FA" w:rsidTr="00DC75F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821" w:type="dxa"/>
            <w:gridSpan w:val="2"/>
            <w:tcBorders>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376"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Cyców</w:t>
            </w:r>
          </w:p>
        </w:tc>
        <w:tc>
          <w:tcPr>
            <w:tcW w:w="1376"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Ludwin</w:t>
            </w:r>
          </w:p>
        </w:tc>
        <w:tc>
          <w:tcPr>
            <w:tcW w:w="1377"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Milejów</w:t>
            </w:r>
          </w:p>
        </w:tc>
        <w:tc>
          <w:tcPr>
            <w:tcW w:w="1377"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Puchaczów</w:t>
            </w:r>
          </w:p>
        </w:tc>
        <w:tc>
          <w:tcPr>
            <w:tcW w:w="1310"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Urszulin</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ogółem</w:t>
            </w:r>
          </w:p>
        </w:tc>
        <w:tc>
          <w:tcPr>
            <w:tcW w:w="126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376" w:type="dxa"/>
            <w:tcBorders>
              <w:top w:val="single" w:sz="4" w:space="0" w:color="5B9BD5"/>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366</w:t>
            </w:r>
          </w:p>
        </w:tc>
        <w:tc>
          <w:tcPr>
            <w:tcW w:w="1376"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248</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440</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355</w:t>
            </w:r>
          </w:p>
        </w:tc>
        <w:tc>
          <w:tcPr>
            <w:tcW w:w="1310" w:type="dxa"/>
            <w:tcBorders>
              <w:top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256</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342</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249</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436</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362</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244</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376"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350</w:t>
            </w:r>
          </w:p>
        </w:tc>
        <w:tc>
          <w:tcPr>
            <w:tcW w:w="1376"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263</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443</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378</w:t>
            </w:r>
          </w:p>
        </w:tc>
        <w:tc>
          <w:tcPr>
            <w:tcW w:w="1310"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371</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279</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488</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396</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264</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376" w:type="dxa"/>
            <w:tcBorders>
              <w:top w:val="nil"/>
              <w:left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377</w:t>
            </w:r>
          </w:p>
        </w:tc>
        <w:tc>
          <w:tcPr>
            <w:tcW w:w="1376"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305</w:t>
            </w:r>
          </w:p>
        </w:tc>
        <w:tc>
          <w:tcPr>
            <w:tcW w:w="1377"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514</w:t>
            </w:r>
          </w:p>
        </w:tc>
        <w:tc>
          <w:tcPr>
            <w:tcW w:w="1377"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394</w:t>
            </w:r>
          </w:p>
        </w:tc>
        <w:tc>
          <w:tcPr>
            <w:tcW w:w="1310" w:type="dxa"/>
            <w:tcBorders>
              <w:top w:val="nil"/>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b w:val="0"/>
                <w:bCs w:val="0"/>
                <w:color w:val="2E74B5"/>
                <w:sz w:val="18"/>
                <w:szCs w:val="18"/>
                <w:lang w:eastAsia="pl-PL"/>
              </w:rPr>
            </w:pPr>
          </w:p>
        </w:tc>
        <w:tc>
          <w:tcPr>
            <w:tcW w:w="1269" w:type="dxa"/>
            <w:tcBorders>
              <w:top w:val="nil"/>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i/>
                <w:iCs/>
                <w:sz w:val="18"/>
                <w:szCs w:val="18"/>
                <w:lang w:eastAsia="pl-PL"/>
              </w:rPr>
              <w:t>zmiana</w:t>
            </w:r>
          </w:p>
        </w:tc>
        <w:tc>
          <w:tcPr>
            <w:tcW w:w="1376" w:type="dxa"/>
            <w:tcBorders>
              <w:top w:val="nil"/>
              <w:left w:val="single" w:sz="4" w:space="0" w:color="5B9BD5"/>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3,0%</w:t>
            </w:r>
          </w:p>
        </w:tc>
        <w:tc>
          <w:tcPr>
            <w:tcW w:w="1376" w:type="dxa"/>
            <w:tcBorders>
              <w:top w:val="nil"/>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23,0%</w:t>
            </w:r>
          </w:p>
        </w:tc>
        <w:tc>
          <w:tcPr>
            <w:tcW w:w="1377" w:type="dxa"/>
            <w:tcBorders>
              <w:top w:val="nil"/>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16,8%</w:t>
            </w:r>
          </w:p>
        </w:tc>
        <w:tc>
          <w:tcPr>
            <w:tcW w:w="1377" w:type="dxa"/>
            <w:tcBorders>
              <w:top w:val="nil"/>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11,0%</w:t>
            </w:r>
          </w:p>
        </w:tc>
        <w:tc>
          <w:tcPr>
            <w:tcW w:w="1310" w:type="dxa"/>
            <w:tcBorders>
              <w:top w:val="nil"/>
              <w:bottom w:val="single" w:sz="4" w:space="0" w:color="5B9BD5"/>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0 - 9</w:t>
            </w:r>
          </w:p>
        </w:tc>
        <w:tc>
          <w:tcPr>
            <w:tcW w:w="126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376" w:type="dxa"/>
            <w:tcBorders>
              <w:top w:val="single" w:sz="4" w:space="0" w:color="5B9BD5"/>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352</w:t>
            </w:r>
          </w:p>
        </w:tc>
        <w:tc>
          <w:tcPr>
            <w:tcW w:w="1376"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234</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421</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336</w:t>
            </w:r>
          </w:p>
        </w:tc>
        <w:tc>
          <w:tcPr>
            <w:tcW w:w="1310" w:type="dxa"/>
            <w:tcBorders>
              <w:top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329</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234</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418</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340</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376"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337</w:t>
            </w:r>
          </w:p>
        </w:tc>
        <w:tc>
          <w:tcPr>
            <w:tcW w:w="1376"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247</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425</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356</w:t>
            </w:r>
          </w:p>
        </w:tc>
        <w:tc>
          <w:tcPr>
            <w:tcW w:w="1310"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354</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263</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469</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374</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254</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376" w:type="dxa"/>
            <w:tcBorders>
              <w:top w:val="nil"/>
              <w:left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361</w:t>
            </w:r>
          </w:p>
        </w:tc>
        <w:tc>
          <w:tcPr>
            <w:tcW w:w="1376"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293</w:t>
            </w:r>
          </w:p>
        </w:tc>
        <w:tc>
          <w:tcPr>
            <w:tcW w:w="1377"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495</w:t>
            </w:r>
          </w:p>
        </w:tc>
        <w:tc>
          <w:tcPr>
            <w:tcW w:w="1377"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374</w:t>
            </w:r>
          </w:p>
        </w:tc>
        <w:tc>
          <w:tcPr>
            <w:tcW w:w="1310" w:type="dxa"/>
            <w:tcBorders>
              <w:top w:val="nil"/>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b w:val="0"/>
                <w:bCs w:val="0"/>
                <w:color w:val="2E74B5"/>
                <w:sz w:val="18"/>
                <w:szCs w:val="18"/>
                <w:lang w:eastAsia="pl-PL"/>
              </w:rPr>
            </w:pPr>
          </w:p>
        </w:tc>
        <w:tc>
          <w:tcPr>
            <w:tcW w:w="1269" w:type="dxa"/>
            <w:tcBorders>
              <w:top w:val="single" w:sz="4" w:space="0" w:color="5B9BD5"/>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i/>
                <w:iCs/>
                <w:sz w:val="18"/>
                <w:szCs w:val="18"/>
                <w:lang w:eastAsia="pl-PL"/>
              </w:rPr>
              <w:t>zmiana</w:t>
            </w:r>
          </w:p>
        </w:tc>
        <w:tc>
          <w:tcPr>
            <w:tcW w:w="1376" w:type="dxa"/>
            <w:tcBorders>
              <w:top w:val="single" w:sz="4" w:space="0" w:color="5B9BD5"/>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2,6%</w:t>
            </w:r>
          </w:p>
        </w:tc>
        <w:tc>
          <w:tcPr>
            <w:tcW w:w="1376"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25,2%</w:t>
            </w:r>
          </w:p>
        </w:tc>
        <w:tc>
          <w:tcPr>
            <w:tcW w:w="1377"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17,6%</w:t>
            </w:r>
          </w:p>
        </w:tc>
        <w:tc>
          <w:tcPr>
            <w:tcW w:w="1377"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11,3%</w:t>
            </w:r>
          </w:p>
        </w:tc>
        <w:tc>
          <w:tcPr>
            <w:tcW w:w="1310" w:type="dxa"/>
            <w:tcBorders>
              <w:top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10 - 49</w:t>
            </w:r>
          </w:p>
        </w:tc>
        <w:tc>
          <w:tcPr>
            <w:tcW w:w="126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376" w:type="dxa"/>
            <w:tcBorders>
              <w:top w:val="single" w:sz="4" w:space="0" w:color="5B9BD5"/>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376"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310" w:type="dxa"/>
            <w:tcBorders>
              <w:top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376"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376"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w:t>
            </w:r>
          </w:p>
        </w:tc>
        <w:tc>
          <w:tcPr>
            <w:tcW w:w="1310"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376" w:type="dxa"/>
            <w:tcBorders>
              <w:top w:val="nil"/>
              <w:left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376"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377"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377"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310" w:type="dxa"/>
            <w:tcBorders>
              <w:top w:val="nil"/>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b w:val="0"/>
                <w:bCs w:val="0"/>
                <w:color w:val="2E74B5"/>
                <w:sz w:val="18"/>
                <w:szCs w:val="18"/>
                <w:lang w:eastAsia="pl-PL"/>
              </w:rPr>
            </w:pPr>
          </w:p>
        </w:tc>
        <w:tc>
          <w:tcPr>
            <w:tcW w:w="1269" w:type="dxa"/>
            <w:tcBorders>
              <w:top w:val="single" w:sz="4" w:space="0" w:color="5B9BD5"/>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i/>
                <w:iCs/>
                <w:sz w:val="18"/>
                <w:szCs w:val="18"/>
                <w:lang w:eastAsia="pl-PL"/>
              </w:rPr>
              <w:t>zmiana</w:t>
            </w:r>
          </w:p>
        </w:tc>
        <w:tc>
          <w:tcPr>
            <w:tcW w:w="1376" w:type="dxa"/>
            <w:tcBorders>
              <w:top w:val="single" w:sz="4" w:space="0" w:color="5B9BD5"/>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18,2%</w:t>
            </w:r>
          </w:p>
        </w:tc>
        <w:tc>
          <w:tcPr>
            <w:tcW w:w="1376"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-27,3%</w:t>
            </w:r>
          </w:p>
        </w:tc>
        <w:tc>
          <w:tcPr>
            <w:tcW w:w="1377"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6,3%</w:t>
            </w:r>
          </w:p>
        </w:tc>
        <w:tc>
          <w:tcPr>
            <w:tcW w:w="1377"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7,7%</w:t>
            </w:r>
          </w:p>
        </w:tc>
        <w:tc>
          <w:tcPr>
            <w:tcW w:w="1310" w:type="dxa"/>
            <w:tcBorders>
              <w:top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33,3%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50 - 249</w:t>
            </w:r>
          </w:p>
        </w:tc>
        <w:tc>
          <w:tcPr>
            <w:tcW w:w="126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376" w:type="dxa"/>
            <w:tcBorders>
              <w:top w:val="single" w:sz="4" w:space="0" w:color="5B9BD5"/>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376"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310" w:type="dxa"/>
            <w:tcBorders>
              <w:top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376"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376"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310"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376" w:type="dxa"/>
            <w:tcBorders>
              <w:top w:val="nil"/>
              <w:left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376"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377"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377"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310" w:type="dxa"/>
            <w:tcBorders>
              <w:top w:val="nil"/>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b w:val="0"/>
                <w:bCs w:val="0"/>
                <w:color w:val="2E74B5"/>
                <w:sz w:val="18"/>
                <w:szCs w:val="18"/>
                <w:lang w:eastAsia="pl-PL"/>
              </w:rPr>
            </w:pPr>
          </w:p>
        </w:tc>
        <w:tc>
          <w:tcPr>
            <w:tcW w:w="1269" w:type="dxa"/>
            <w:tcBorders>
              <w:top w:val="single" w:sz="4" w:space="0" w:color="5B9BD5"/>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i/>
                <w:iCs/>
                <w:sz w:val="18"/>
                <w:szCs w:val="18"/>
                <w:lang w:eastAsia="pl-PL"/>
              </w:rPr>
              <w:t>zmiana</w:t>
            </w:r>
          </w:p>
        </w:tc>
        <w:tc>
          <w:tcPr>
            <w:tcW w:w="1376" w:type="dxa"/>
            <w:tcBorders>
              <w:top w:val="single" w:sz="4" w:space="0" w:color="5B9BD5"/>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376"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33,3%</w:t>
            </w:r>
          </w:p>
        </w:tc>
        <w:tc>
          <w:tcPr>
            <w:tcW w:w="1377"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377"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310" w:type="dxa"/>
            <w:tcBorders>
              <w:top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250 - 999</w:t>
            </w:r>
          </w:p>
        </w:tc>
        <w:tc>
          <w:tcPr>
            <w:tcW w:w="126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376" w:type="dxa"/>
            <w:tcBorders>
              <w:top w:val="single" w:sz="4" w:space="0" w:color="5B9BD5"/>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6"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10" w:type="dxa"/>
            <w:tcBorders>
              <w:top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376"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6"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10"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376" w:type="dxa"/>
            <w:tcBorders>
              <w:top w:val="nil"/>
              <w:left w:val="single" w:sz="4" w:space="0" w:color="5B9BD5"/>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6"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10" w:type="dxa"/>
            <w:tcBorders>
              <w:top w:val="nil"/>
              <w:bottom w:val="single" w:sz="4" w:space="0" w:color="5B9BD5"/>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b w:val="0"/>
                <w:bCs w:val="0"/>
                <w:color w:val="2E74B5"/>
                <w:sz w:val="18"/>
                <w:szCs w:val="18"/>
                <w:lang w:eastAsia="pl-PL"/>
              </w:rPr>
            </w:pPr>
          </w:p>
        </w:tc>
        <w:tc>
          <w:tcPr>
            <w:tcW w:w="1269" w:type="dxa"/>
            <w:tcBorders>
              <w:top w:val="single" w:sz="4" w:space="0" w:color="5B9BD5"/>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i/>
                <w:iCs/>
                <w:sz w:val="18"/>
                <w:szCs w:val="18"/>
                <w:lang w:eastAsia="pl-PL"/>
              </w:rPr>
              <w:t>zmiana</w:t>
            </w:r>
          </w:p>
        </w:tc>
        <w:tc>
          <w:tcPr>
            <w:tcW w:w="1376" w:type="dxa"/>
            <w:tcBorders>
              <w:top w:val="single" w:sz="4" w:space="0" w:color="5B9BD5"/>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376"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377"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-100,0%</w:t>
            </w:r>
          </w:p>
        </w:tc>
        <w:tc>
          <w:tcPr>
            <w:tcW w:w="1377" w:type="dxa"/>
            <w:tcBorders>
              <w:top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310" w:type="dxa"/>
            <w:tcBorders>
              <w:top w:val="single" w:sz="4" w:space="0" w:color="5B9BD5"/>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 xml:space="preserve">1000 </w:t>
            </w:r>
            <w:r>
              <w:rPr>
                <w:rFonts w:asciiTheme="majorHAnsi" w:eastAsia="Times New Roman" w:hAnsiTheme="majorHAnsi" w:cstheme="majorHAnsi"/>
                <w:sz w:val="18"/>
                <w:szCs w:val="18"/>
                <w:lang w:eastAsia="pl-PL"/>
              </w:rPr>
              <w:br/>
              <w:t>i więcej</w:t>
            </w:r>
          </w:p>
        </w:tc>
        <w:tc>
          <w:tcPr>
            <w:tcW w:w="126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2015</w:t>
            </w:r>
          </w:p>
        </w:tc>
        <w:tc>
          <w:tcPr>
            <w:tcW w:w="1376" w:type="dxa"/>
            <w:tcBorders>
              <w:top w:val="single" w:sz="4" w:space="0" w:color="5B9BD5"/>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6"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310" w:type="dxa"/>
            <w:tcBorders>
              <w:top w:val="single" w:sz="4" w:space="0" w:color="5B9BD5"/>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2016</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2017</w:t>
            </w:r>
          </w:p>
        </w:tc>
        <w:tc>
          <w:tcPr>
            <w:tcW w:w="1376"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6"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310"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2018</w:t>
            </w:r>
          </w:p>
        </w:tc>
        <w:tc>
          <w:tcPr>
            <w:tcW w:w="1376" w:type="dxa"/>
            <w:tcBorders>
              <w:top w:val="nil"/>
              <w:left w:val="single" w:sz="4" w:space="0" w:color="5B9BD5"/>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6"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310" w:type="dxa"/>
            <w:tcBorders>
              <w:top w:val="nil"/>
              <w:bottom w:val="nil"/>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6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2019</w:t>
            </w:r>
          </w:p>
        </w:tc>
        <w:tc>
          <w:tcPr>
            <w:tcW w:w="1376" w:type="dxa"/>
            <w:tcBorders>
              <w:top w:val="nil"/>
              <w:left w:val="single" w:sz="4" w:space="0" w:color="5B9BD5"/>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6"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377" w:type="dxa"/>
            <w:tcBorders>
              <w:top w:val="nil"/>
              <w:bottom w:val="nil"/>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310" w:type="dxa"/>
            <w:tcBorders>
              <w:top w:val="nil"/>
              <w:bottom w:val="nil"/>
              <w:right w:val="single" w:sz="4" w:space="0" w:color="5B9BD5"/>
            </w:tcBorders>
            <w:vAlign w:val="bottom"/>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552"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b w:val="0"/>
                <w:bCs w:val="0"/>
                <w:color w:val="2E74B5"/>
                <w:sz w:val="18"/>
                <w:szCs w:val="18"/>
                <w:lang w:eastAsia="pl-PL"/>
              </w:rPr>
            </w:pPr>
          </w:p>
        </w:tc>
        <w:tc>
          <w:tcPr>
            <w:tcW w:w="1269" w:type="dxa"/>
            <w:tcBorders>
              <w:top w:val="nil"/>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i/>
                <w:iCs/>
                <w:sz w:val="18"/>
                <w:szCs w:val="18"/>
                <w:lang w:eastAsia="pl-PL"/>
              </w:rPr>
            </w:pPr>
            <w:bookmarkStart w:id="146" w:name="OLE_LINK2"/>
            <w:r>
              <w:rPr>
                <w:rFonts w:asciiTheme="majorHAnsi" w:eastAsia="Times New Roman" w:hAnsiTheme="majorHAnsi" w:cstheme="majorHAnsi"/>
                <w:b/>
                <w:bCs/>
                <w:i/>
                <w:iCs/>
                <w:sz w:val="18"/>
                <w:szCs w:val="18"/>
                <w:lang w:eastAsia="pl-PL"/>
              </w:rPr>
              <w:t>zmiana</w:t>
            </w:r>
            <w:bookmarkEnd w:id="146"/>
          </w:p>
        </w:tc>
        <w:tc>
          <w:tcPr>
            <w:tcW w:w="1376" w:type="dxa"/>
            <w:tcBorders>
              <w:top w:val="nil"/>
              <w:left w:val="single" w:sz="4" w:space="0" w:color="5B9BD5"/>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376" w:type="dxa"/>
            <w:tcBorders>
              <w:top w:val="nil"/>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377" w:type="dxa"/>
            <w:tcBorders>
              <w:top w:val="nil"/>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377" w:type="dxa"/>
            <w:tcBorders>
              <w:top w:val="nil"/>
              <w:bottom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310" w:type="dxa"/>
            <w:tcBorders>
              <w:top w:val="nil"/>
              <w:bottom w:val="single" w:sz="4" w:space="0" w:color="5B9BD5"/>
              <w:right w:val="single" w:sz="4" w:space="0" w:color="5B9BD5"/>
            </w:tcBorders>
            <w:shd w:val="clear" w:color="auto" w:fill="auto"/>
            <w:vAlign w:val="bottom"/>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r>
    </w:tbl>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highlight w:val="yellow"/>
        </w:rPr>
      </w:pPr>
      <w:r>
        <w:rPr>
          <w:rFonts w:ascii="Times New Roman" w:hAnsi="Times New Roman" w:cs="Times New Roman"/>
        </w:rPr>
        <w:t>Struktura branż gospodarki na terenie OF wykazuje dominację firm prowadzących działalność inną niż rolnictwo, leśnictwo, łowiectwo, rybactwo. Spośród 1 868 przedsiębiorstw zarejestrowanych w rejestrze REGON na terenie OF w 2019 r. tylko 60 firm zajmowało się rolnictwem, leśnictwem, łowiectwem bądź rybactwem, a ich liczba w porównaniu z 2015 r. zmniejszyła się o 22%. Najliczniej reprezentowaną branżą wśród wszystkich podmiotów gospodarczych była „pozostała działalność”, stanowiąca w 2019 r. niemal 70% łącznej liczby przedsiębiorstw. 27% wszystkich podmiotów działających na obszarze OF to podmioty działające w przemyśle oraz budownictwie.</w:t>
      </w:r>
      <w:r>
        <w:rPr>
          <w:rFonts w:ascii="Times New Roman" w:hAnsi="Times New Roman" w:cs="Times New Roman"/>
          <w:highlight w:val="yellow"/>
        </w:rPr>
        <w:t xml:space="preserve"> </w:t>
      </w:r>
    </w:p>
    <w:p w:rsidR="00DC75FA" w:rsidRDefault="00887D84">
      <w:pPr>
        <w:pStyle w:val="aaapodpis"/>
        <w:spacing w:line="276" w:lineRule="auto"/>
      </w:pPr>
      <w:bookmarkStart w:id="147" w:name="_Toc75899512"/>
      <w:r>
        <w:lastRenderedPageBreak/>
        <w:t>Wykres 47: Podmioty gospodarcze wg grup rodzajów działalności PKD 2007 na obszarze OF w latach 2015-2019</w:t>
      </w:r>
      <w:bookmarkEnd w:id="147"/>
    </w:p>
    <w:p w:rsidR="00DC75FA" w:rsidRDefault="00887D84">
      <w:r>
        <w:rPr>
          <w:noProof/>
          <w:lang w:eastAsia="pl-PL"/>
        </w:rPr>
        <w:drawing>
          <wp:inline distT="0" distB="0" distL="0" distR="0">
            <wp:extent cx="6120130" cy="2729230"/>
            <wp:effectExtent l="0" t="0" r="0" b="0"/>
            <wp:docPr id="96" name="Wykres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DC75FA" w:rsidRDefault="00887D84">
      <w:pPr>
        <w:pStyle w:val="aaardo"/>
      </w:pPr>
      <w:r>
        <w:t>Źródło: opracowanie własne na podstawie danych GUS – Bank Danych Lokalnych.</w:t>
      </w:r>
    </w:p>
    <w:p w:rsidR="00DC75FA" w:rsidRDefault="00887D84">
      <w:pPr>
        <w:pStyle w:val="aaapodpis"/>
        <w:spacing w:line="276" w:lineRule="auto"/>
      </w:pPr>
      <w:bookmarkStart w:id="148" w:name="_Toc75899513"/>
      <w:r>
        <w:t>Wykres 48: Struktura podmiotów gospodarczych wg grup rodzajów działalności PKD 2007 na obszarze OF w 2019 r.</w:t>
      </w:r>
      <w:bookmarkEnd w:id="148"/>
    </w:p>
    <w:p w:rsidR="00DC75FA" w:rsidRDefault="00887D84">
      <w:pPr>
        <w:pStyle w:val="podpis"/>
        <w:jc w:val="center"/>
      </w:pPr>
      <w:r>
        <w:rPr>
          <w:noProof/>
          <w:lang w:eastAsia="pl-PL"/>
        </w:rPr>
        <w:drawing>
          <wp:inline distT="0" distB="0" distL="0" distR="0">
            <wp:extent cx="4546600" cy="2052955"/>
            <wp:effectExtent l="0" t="0" r="0" b="0"/>
            <wp:docPr id="97" name="Wykres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DC75FA" w:rsidRDefault="00887D84">
      <w:pPr>
        <w:pStyle w:val="aaardo"/>
      </w:pPr>
      <w:r>
        <w:t>Źródło: opracowanie własne na podstawie danych GUS – Bank Danych Lokalnych.</w:t>
      </w:r>
    </w:p>
    <w:p w:rsidR="00DC75FA" w:rsidRDefault="00887D84">
      <w:pPr>
        <w:pStyle w:val="aaapodpis"/>
        <w:spacing w:line="276" w:lineRule="auto"/>
      </w:pPr>
      <w:bookmarkStart w:id="149" w:name="_Toc75899293"/>
      <w:r>
        <w:t xml:space="preserve">Tabela </w:t>
      </w:r>
      <w:r>
        <w:fldChar w:fldCharType="begin"/>
      </w:r>
      <w:r>
        <w:instrText>SEQ Tabela \* ARABIC</w:instrText>
      </w:r>
      <w:r>
        <w:fldChar w:fldCharType="separate"/>
      </w:r>
      <w:r>
        <w:t>10</w:t>
      </w:r>
      <w:r>
        <w:fldChar w:fldCharType="end"/>
      </w:r>
      <w:r>
        <w:t>: Podmioty gospodarcze wg grup rodzajów działalności PKD 2007 w poszczególnych JST OF w latach 2015-2019</w:t>
      </w:r>
      <w:bookmarkEnd w:id="149"/>
    </w:p>
    <w:tbl>
      <w:tblPr>
        <w:tblStyle w:val="Jasnecieniowanieakcent11"/>
        <w:tblW w:w="5000" w:type="pct"/>
        <w:tblLook w:val="04A0" w:firstRow="1" w:lastRow="0" w:firstColumn="1" w:lastColumn="0" w:noHBand="0" w:noVBand="1"/>
      </w:tblPr>
      <w:tblGrid>
        <w:gridCol w:w="1387"/>
        <w:gridCol w:w="2267"/>
        <w:gridCol w:w="1240"/>
        <w:gridCol w:w="1240"/>
        <w:gridCol w:w="1240"/>
        <w:gridCol w:w="1239"/>
        <w:gridCol w:w="1241"/>
      </w:tblGrid>
      <w:tr w:rsidR="00DC75FA" w:rsidTr="00DC75F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572" w:type="dxa"/>
            <w:gridSpan w:val="2"/>
            <w:tcBorders>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1213"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Cyców</w:t>
            </w:r>
          </w:p>
        </w:tc>
        <w:tc>
          <w:tcPr>
            <w:tcW w:w="1213"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Ludwin</w:t>
            </w:r>
          </w:p>
        </w:tc>
        <w:tc>
          <w:tcPr>
            <w:tcW w:w="1213"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Milejów</w:t>
            </w:r>
          </w:p>
        </w:tc>
        <w:tc>
          <w:tcPr>
            <w:tcW w:w="1212"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Puchaczów</w:t>
            </w:r>
          </w:p>
        </w:tc>
        <w:tc>
          <w:tcPr>
            <w:tcW w:w="1214"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Urszulin</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5"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2015</w:t>
            </w:r>
          </w:p>
        </w:tc>
        <w:tc>
          <w:tcPr>
            <w:tcW w:w="221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ogółem</w:t>
            </w:r>
          </w:p>
        </w:tc>
        <w:tc>
          <w:tcPr>
            <w:tcW w:w="1213"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366</w:t>
            </w:r>
          </w:p>
        </w:tc>
        <w:tc>
          <w:tcPr>
            <w:tcW w:w="121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248</w:t>
            </w:r>
          </w:p>
        </w:tc>
        <w:tc>
          <w:tcPr>
            <w:tcW w:w="121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440</w:t>
            </w:r>
          </w:p>
        </w:tc>
        <w:tc>
          <w:tcPr>
            <w:tcW w:w="1212"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355</w:t>
            </w:r>
          </w:p>
        </w:tc>
        <w:tc>
          <w:tcPr>
            <w:tcW w:w="1214"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256</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rolnictwo, leśnictwo, łowiectwo i rybactwo</w:t>
            </w:r>
          </w:p>
        </w:tc>
        <w:tc>
          <w:tcPr>
            <w:tcW w:w="1213"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w:t>
            </w:r>
          </w:p>
        </w:tc>
        <w:tc>
          <w:tcPr>
            <w:tcW w:w="121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21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w:t>
            </w:r>
          </w:p>
        </w:tc>
        <w:tc>
          <w:tcPr>
            <w:tcW w:w="121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18</w:t>
            </w:r>
          </w:p>
        </w:tc>
        <w:tc>
          <w:tcPr>
            <w:tcW w:w="1214"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przemysł i budownictwo</w:t>
            </w:r>
          </w:p>
        </w:tc>
        <w:tc>
          <w:tcPr>
            <w:tcW w:w="1213"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104</w:t>
            </w:r>
          </w:p>
        </w:tc>
        <w:tc>
          <w:tcPr>
            <w:tcW w:w="121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76</w:t>
            </w:r>
          </w:p>
        </w:tc>
        <w:tc>
          <w:tcPr>
            <w:tcW w:w="121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93</w:t>
            </w:r>
          </w:p>
        </w:tc>
        <w:tc>
          <w:tcPr>
            <w:tcW w:w="121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91</w:t>
            </w:r>
          </w:p>
        </w:tc>
        <w:tc>
          <w:tcPr>
            <w:tcW w:w="1214"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pozostała działalność</w:t>
            </w:r>
          </w:p>
        </w:tc>
        <w:tc>
          <w:tcPr>
            <w:tcW w:w="1213" w:type="dxa"/>
            <w:tcBorders>
              <w:top w:val="nil"/>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239</w:t>
            </w:r>
          </w:p>
        </w:tc>
        <w:tc>
          <w:tcPr>
            <w:tcW w:w="1213"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168</w:t>
            </w:r>
          </w:p>
        </w:tc>
        <w:tc>
          <w:tcPr>
            <w:tcW w:w="1213"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326</w:t>
            </w:r>
          </w:p>
        </w:tc>
        <w:tc>
          <w:tcPr>
            <w:tcW w:w="1212"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246</w:t>
            </w:r>
          </w:p>
        </w:tc>
        <w:tc>
          <w:tcPr>
            <w:tcW w:w="1214" w:type="dxa"/>
            <w:tcBorders>
              <w:top w:val="nil"/>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5"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2016</w:t>
            </w:r>
          </w:p>
        </w:tc>
        <w:tc>
          <w:tcPr>
            <w:tcW w:w="221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ogółem</w:t>
            </w:r>
          </w:p>
        </w:tc>
        <w:tc>
          <w:tcPr>
            <w:tcW w:w="1213"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342</w:t>
            </w:r>
          </w:p>
        </w:tc>
        <w:tc>
          <w:tcPr>
            <w:tcW w:w="121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249</w:t>
            </w:r>
          </w:p>
        </w:tc>
        <w:tc>
          <w:tcPr>
            <w:tcW w:w="121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436</w:t>
            </w:r>
          </w:p>
        </w:tc>
        <w:tc>
          <w:tcPr>
            <w:tcW w:w="1212"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362</w:t>
            </w:r>
          </w:p>
        </w:tc>
        <w:tc>
          <w:tcPr>
            <w:tcW w:w="1214"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rolnictwo, leśnictwo, łowiectwo i rybactwo</w:t>
            </w:r>
          </w:p>
        </w:tc>
        <w:tc>
          <w:tcPr>
            <w:tcW w:w="1213"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w:t>
            </w:r>
          </w:p>
        </w:tc>
        <w:tc>
          <w:tcPr>
            <w:tcW w:w="121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21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21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214"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przemysł i budownictwo</w:t>
            </w:r>
          </w:p>
        </w:tc>
        <w:tc>
          <w:tcPr>
            <w:tcW w:w="1213"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89</w:t>
            </w:r>
          </w:p>
        </w:tc>
        <w:tc>
          <w:tcPr>
            <w:tcW w:w="121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76</w:t>
            </w:r>
          </w:p>
        </w:tc>
        <w:tc>
          <w:tcPr>
            <w:tcW w:w="121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97</w:t>
            </w:r>
          </w:p>
        </w:tc>
        <w:tc>
          <w:tcPr>
            <w:tcW w:w="121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93</w:t>
            </w:r>
          </w:p>
        </w:tc>
        <w:tc>
          <w:tcPr>
            <w:tcW w:w="1214"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pozostała działalność</w:t>
            </w:r>
          </w:p>
        </w:tc>
        <w:tc>
          <w:tcPr>
            <w:tcW w:w="1213" w:type="dxa"/>
            <w:tcBorders>
              <w:top w:val="nil"/>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232</w:t>
            </w:r>
          </w:p>
        </w:tc>
        <w:tc>
          <w:tcPr>
            <w:tcW w:w="1213"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169</w:t>
            </w:r>
          </w:p>
        </w:tc>
        <w:tc>
          <w:tcPr>
            <w:tcW w:w="1213"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319</w:t>
            </w:r>
          </w:p>
        </w:tc>
        <w:tc>
          <w:tcPr>
            <w:tcW w:w="1212"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252</w:t>
            </w:r>
          </w:p>
        </w:tc>
        <w:tc>
          <w:tcPr>
            <w:tcW w:w="1214" w:type="dxa"/>
            <w:tcBorders>
              <w:top w:val="nil"/>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194</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5"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2017</w:t>
            </w:r>
          </w:p>
        </w:tc>
        <w:tc>
          <w:tcPr>
            <w:tcW w:w="221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ogółem</w:t>
            </w:r>
          </w:p>
        </w:tc>
        <w:tc>
          <w:tcPr>
            <w:tcW w:w="1213"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350</w:t>
            </w:r>
          </w:p>
        </w:tc>
        <w:tc>
          <w:tcPr>
            <w:tcW w:w="121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263</w:t>
            </w:r>
          </w:p>
        </w:tc>
        <w:tc>
          <w:tcPr>
            <w:tcW w:w="121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443</w:t>
            </w:r>
          </w:p>
        </w:tc>
        <w:tc>
          <w:tcPr>
            <w:tcW w:w="1212"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378</w:t>
            </w:r>
          </w:p>
        </w:tc>
        <w:tc>
          <w:tcPr>
            <w:tcW w:w="1214"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rolnictwo, leśnictwo, łowiectwo i rybactwo</w:t>
            </w:r>
          </w:p>
        </w:tc>
        <w:tc>
          <w:tcPr>
            <w:tcW w:w="1213"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21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21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w:t>
            </w:r>
          </w:p>
        </w:tc>
        <w:tc>
          <w:tcPr>
            <w:tcW w:w="121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214"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przemysł i budownictwo</w:t>
            </w:r>
          </w:p>
        </w:tc>
        <w:tc>
          <w:tcPr>
            <w:tcW w:w="1213"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96</w:t>
            </w:r>
          </w:p>
        </w:tc>
        <w:tc>
          <w:tcPr>
            <w:tcW w:w="121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81</w:t>
            </w:r>
          </w:p>
        </w:tc>
        <w:tc>
          <w:tcPr>
            <w:tcW w:w="121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103</w:t>
            </w:r>
          </w:p>
        </w:tc>
        <w:tc>
          <w:tcPr>
            <w:tcW w:w="121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103</w:t>
            </w:r>
          </w:p>
        </w:tc>
        <w:tc>
          <w:tcPr>
            <w:tcW w:w="1214"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pozostała działalność</w:t>
            </w:r>
          </w:p>
        </w:tc>
        <w:tc>
          <w:tcPr>
            <w:tcW w:w="1213" w:type="dxa"/>
            <w:tcBorders>
              <w:top w:val="nil"/>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234</w:t>
            </w:r>
          </w:p>
        </w:tc>
        <w:tc>
          <w:tcPr>
            <w:tcW w:w="1213"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178</w:t>
            </w:r>
          </w:p>
        </w:tc>
        <w:tc>
          <w:tcPr>
            <w:tcW w:w="1213"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319</w:t>
            </w:r>
          </w:p>
        </w:tc>
        <w:tc>
          <w:tcPr>
            <w:tcW w:w="1212"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258</w:t>
            </w:r>
          </w:p>
        </w:tc>
        <w:tc>
          <w:tcPr>
            <w:tcW w:w="1214" w:type="dxa"/>
            <w:tcBorders>
              <w:top w:val="nil"/>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5"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2018</w:t>
            </w:r>
          </w:p>
        </w:tc>
        <w:tc>
          <w:tcPr>
            <w:tcW w:w="221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ogółem</w:t>
            </w:r>
          </w:p>
        </w:tc>
        <w:tc>
          <w:tcPr>
            <w:tcW w:w="1213"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371</w:t>
            </w:r>
          </w:p>
        </w:tc>
        <w:tc>
          <w:tcPr>
            <w:tcW w:w="121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279</w:t>
            </w:r>
          </w:p>
        </w:tc>
        <w:tc>
          <w:tcPr>
            <w:tcW w:w="121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488</w:t>
            </w:r>
          </w:p>
        </w:tc>
        <w:tc>
          <w:tcPr>
            <w:tcW w:w="1212"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396</w:t>
            </w:r>
          </w:p>
        </w:tc>
        <w:tc>
          <w:tcPr>
            <w:tcW w:w="1214"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 xml:space="preserve">rolnictwo, leśnictwo, </w:t>
            </w:r>
            <w:r>
              <w:rPr>
                <w:rFonts w:asciiTheme="majorHAnsi" w:eastAsia="Times New Roman" w:hAnsiTheme="majorHAnsi" w:cstheme="majorHAnsi"/>
                <w:sz w:val="18"/>
                <w:szCs w:val="18"/>
                <w:lang w:eastAsia="pl-PL"/>
              </w:rPr>
              <w:lastRenderedPageBreak/>
              <w:t>łowiectwo i rybactwo</w:t>
            </w:r>
          </w:p>
        </w:tc>
        <w:tc>
          <w:tcPr>
            <w:tcW w:w="1213"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lastRenderedPageBreak/>
              <w:t>19</w:t>
            </w:r>
          </w:p>
        </w:tc>
        <w:tc>
          <w:tcPr>
            <w:tcW w:w="121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21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w:t>
            </w:r>
          </w:p>
        </w:tc>
        <w:tc>
          <w:tcPr>
            <w:tcW w:w="121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214"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przemysł i budownictwo</w:t>
            </w:r>
          </w:p>
        </w:tc>
        <w:tc>
          <w:tcPr>
            <w:tcW w:w="1213"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100</w:t>
            </w:r>
          </w:p>
        </w:tc>
        <w:tc>
          <w:tcPr>
            <w:tcW w:w="121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81</w:t>
            </w:r>
          </w:p>
        </w:tc>
        <w:tc>
          <w:tcPr>
            <w:tcW w:w="121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113</w:t>
            </w:r>
          </w:p>
        </w:tc>
        <w:tc>
          <w:tcPr>
            <w:tcW w:w="121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108</w:t>
            </w:r>
          </w:p>
        </w:tc>
        <w:tc>
          <w:tcPr>
            <w:tcW w:w="1214"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pozostała działalność</w:t>
            </w:r>
          </w:p>
        </w:tc>
        <w:tc>
          <w:tcPr>
            <w:tcW w:w="1213" w:type="dxa"/>
            <w:tcBorders>
              <w:top w:val="nil"/>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252</w:t>
            </w:r>
          </w:p>
        </w:tc>
        <w:tc>
          <w:tcPr>
            <w:tcW w:w="1213"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195</w:t>
            </w:r>
          </w:p>
        </w:tc>
        <w:tc>
          <w:tcPr>
            <w:tcW w:w="1213"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354</w:t>
            </w:r>
          </w:p>
        </w:tc>
        <w:tc>
          <w:tcPr>
            <w:tcW w:w="1212"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272</w:t>
            </w:r>
          </w:p>
        </w:tc>
        <w:tc>
          <w:tcPr>
            <w:tcW w:w="1214" w:type="dxa"/>
            <w:tcBorders>
              <w:top w:val="nil"/>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5"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2019</w:t>
            </w:r>
          </w:p>
        </w:tc>
        <w:tc>
          <w:tcPr>
            <w:tcW w:w="2217"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ogółem</w:t>
            </w:r>
          </w:p>
        </w:tc>
        <w:tc>
          <w:tcPr>
            <w:tcW w:w="1213"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377</w:t>
            </w:r>
          </w:p>
        </w:tc>
        <w:tc>
          <w:tcPr>
            <w:tcW w:w="121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305</w:t>
            </w:r>
          </w:p>
        </w:tc>
        <w:tc>
          <w:tcPr>
            <w:tcW w:w="1213"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514</w:t>
            </w:r>
          </w:p>
        </w:tc>
        <w:tc>
          <w:tcPr>
            <w:tcW w:w="1212"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394</w:t>
            </w:r>
          </w:p>
        </w:tc>
        <w:tc>
          <w:tcPr>
            <w:tcW w:w="1214"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rolnictwo, leśnictwo, łowiectwo i rybactwo</w:t>
            </w:r>
          </w:p>
        </w:tc>
        <w:tc>
          <w:tcPr>
            <w:tcW w:w="1213"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21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213"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21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214"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przemysł i budownictwo</w:t>
            </w:r>
          </w:p>
        </w:tc>
        <w:tc>
          <w:tcPr>
            <w:tcW w:w="1213"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109</w:t>
            </w:r>
          </w:p>
        </w:tc>
        <w:tc>
          <w:tcPr>
            <w:tcW w:w="121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96</w:t>
            </w:r>
          </w:p>
        </w:tc>
        <w:tc>
          <w:tcPr>
            <w:tcW w:w="1213"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128</w:t>
            </w:r>
          </w:p>
        </w:tc>
        <w:tc>
          <w:tcPr>
            <w:tcW w:w="121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111</w:t>
            </w:r>
          </w:p>
        </w:tc>
        <w:tc>
          <w:tcPr>
            <w:tcW w:w="1214"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1355"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8"/>
                <w:szCs w:val="18"/>
                <w:lang w:eastAsia="pl-PL"/>
              </w:rPr>
            </w:pPr>
          </w:p>
        </w:tc>
        <w:tc>
          <w:tcPr>
            <w:tcW w:w="2217" w:type="dxa"/>
            <w:tcBorders>
              <w:top w:val="nil"/>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eastAsia="Times New Roman" w:hAnsiTheme="majorHAnsi" w:cstheme="majorHAnsi"/>
                <w:sz w:val="18"/>
                <w:szCs w:val="18"/>
                <w:lang w:eastAsia="pl-PL"/>
              </w:rPr>
              <w:t>pozostała działalność</w:t>
            </w:r>
          </w:p>
        </w:tc>
        <w:tc>
          <w:tcPr>
            <w:tcW w:w="1213" w:type="dxa"/>
            <w:tcBorders>
              <w:top w:val="nil"/>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251</w:t>
            </w:r>
          </w:p>
        </w:tc>
        <w:tc>
          <w:tcPr>
            <w:tcW w:w="1213"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205</w:t>
            </w:r>
          </w:p>
        </w:tc>
        <w:tc>
          <w:tcPr>
            <w:tcW w:w="1213"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366</w:t>
            </w:r>
          </w:p>
        </w:tc>
        <w:tc>
          <w:tcPr>
            <w:tcW w:w="1212" w:type="dxa"/>
            <w:tcBorders>
              <w:top w:val="nil"/>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270</w:t>
            </w:r>
          </w:p>
        </w:tc>
        <w:tc>
          <w:tcPr>
            <w:tcW w:w="1214" w:type="dxa"/>
            <w:tcBorders>
              <w:top w:val="nil"/>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218</w:t>
            </w:r>
          </w:p>
        </w:tc>
      </w:tr>
    </w:tbl>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highlight w:val="yellow"/>
        </w:rPr>
      </w:pPr>
      <w:r>
        <w:rPr>
          <w:rFonts w:ascii="Times New Roman" w:hAnsi="Times New Roman" w:cs="Times New Roman"/>
        </w:rPr>
        <w:t>Analiza zmian w liczbie podmiotów zarejestrowanych w rejestrze REGON pokazuje, że w większości analizowanych lat, liczba podmiotów nowo zarejestrowanych w rejestrze REGON przewyższała liczbę podmiotów wyrejestrowanych z rejestru. Wyjątkiem był 2016 r., w którym na 126 nowo zarejestrowanych firm, 139 zostało wyrejestrowanych. W 2019 r. zarejestrowano 196 nowych przedsiębiorstw – o 21 więcej niż w 2015 r. – a wyrejestrowano 112 podmiotów (o 16 mniej niż w 2015 r.).</w:t>
      </w:r>
    </w:p>
    <w:p w:rsidR="00DC75FA" w:rsidRDefault="00887D84">
      <w:pPr>
        <w:pStyle w:val="aaapodpis"/>
        <w:spacing w:line="276" w:lineRule="auto"/>
      </w:pPr>
      <w:bookmarkStart w:id="150" w:name="_Toc75899514"/>
      <w:r>
        <w:t>Wykres 49: Zmiany w liczbie podmiotów zarejestrowanych w rejestrze REGON na obszarze OF w latach 2015-2019</w:t>
      </w:r>
      <w:bookmarkEnd w:id="150"/>
    </w:p>
    <w:p w:rsidR="00DC75FA" w:rsidRDefault="00887D84">
      <w:pPr>
        <w:pStyle w:val="aaardo"/>
      </w:pPr>
      <w:r>
        <w:rPr>
          <w:noProof/>
          <w:lang w:eastAsia="pl-PL"/>
        </w:rPr>
        <w:drawing>
          <wp:inline distT="0" distB="0" distL="0" distR="0">
            <wp:extent cx="6120130" cy="2209800"/>
            <wp:effectExtent l="0" t="0" r="0" b="0"/>
            <wp:docPr id="98"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t>Źródło: opracowanie własne na podstawie danych GUS – Bank Danych Lokalnych.</w:t>
      </w:r>
    </w:p>
    <w:p w:rsidR="00DC75FA" w:rsidRDefault="00887D84">
      <w:pPr>
        <w:pStyle w:val="aaapodpis"/>
        <w:spacing w:line="276" w:lineRule="auto"/>
      </w:pPr>
      <w:bookmarkStart w:id="151" w:name="_Toc75899515"/>
      <w:r>
        <w:lastRenderedPageBreak/>
        <w:t>Wykres 50: Zmiany w liczbie podmiotów zarejestrowanych w rejestrze REGON w poszczególnych JST OF w latach 2015-2019</w:t>
      </w:r>
      <w:bookmarkEnd w:id="151"/>
    </w:p>
    <w:p w:rsidR="00DC75FA" w:rsidRDefault="00887D84">
      <w:r>
        <w:rPr>
          <w:noProof/>
          <w:lang w:eastAsia="pl-PL"/>
        </w:rPr>
        <w:drawing>
          <wp:inline distT="0" distB="0" distL="0" distR="0">
            <wp:extent cx="6119495" cy="5410200"/>
            <wp:effectExtent l="0" t="0" r="0" b="0"/>
            <wp:docPr id="99" name="Wykres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highlight w:val="yellow"/>
        </w:rPr>
      </w:pPr>
      <w:r>
        <w:rPr>
          <w:rFonts w:ascii="Times New Roman" w:hAnsi="Times New Roman" w:cs="Times New Roman"/>
        </w:rPr>
        <w:t>Wskaźnik podmiotów gospodarczych wpisanych do rejestru REGON na 1 tys. ludności na terenie OF w latach 2015–2019 (poza 2016 r. w którym odnotowano niewielki spadek) wzrastał i w 2019 r. wyniósł 59. O 13% (do poziomu 96) wzrosła również wartość wskaźnika podmiotów na 1 000 mieszkańców w wieku produkcyjnym, a o 10,7% (do poziomu 43,4) wzrosła wartość wskaźnika osób fizycznych prowadzących działalność gospodarczą na 1 000 ludności.</w:t>
      </w:r>
    </w:p>
    <w:p w:rsidR="00DC75FA" w:rsidRDefault="00887D84">
      <w:pPr>
        <w:pStyle w:val="aaapodpis"/>
        <w:spacing w:line="276" w:lineRule="auto"/>
      </w:pPr>
      <w:bookmarkStart w:id="152" w:name="_Toc75899516"/>
      <w:r>
        <w:lastRenderedPageBreak/>
        <w:t>Wykres 51: Podmioty gospodarcze na obszarze OF w latach 2015-2019 – wskaźniki</w:t>
      </w:r>
      <w:bookmarkEnd w:id="152"/>
    </w:p>
    <w:p w:rsidR="00DC75FA" w:rsidRDefault="00887D84">
      <w:pPr>
        <w:pStyle w:val="aaardo"/>
      </w:pPr>
      <w:r>
        <w:rPr>
          <w:noProof/>
          <w:lang w:eastAsia="pl-PL"/>
        </w:rPr>
        <w:drawing>
          <wp:inline distT="0" distB="0" distL="0" distR="0">
            <wp:extent cx="6120130" cy="2390775"/>
            <wp:effectExtent l="0" t="0" r="0" b="0"/>
            <wp:docPr id="100" name="Wykres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t>Źródło: opracowanie własne na podstawie danych GUS – Bank Danych Lokalnych.</w:t>
      </w:r>
    </w:p>
    <w:p w:rsidR="00DC75FA" w:rsidRDefault="00887D84">
      <w:pPr>
        <w:pStyle w:val="aaapodpis"/>
        <w:spacing w:line="276" w:lineRule="auto"/>
      </w:pPr>
      <w:bookmarkStart w:id="153" w:name="_Toc75899517"/>
      <w:r>
        <w:t xml:space="preserve">Wykres </w:t>
      </w:r>
      <w:r>
        <w:fldChar w:fldCharType="begin"/>
      </w:r>
      <w:r>
        <w:instrText>SEQ Wykres \* ARABIC</w:instrText>
      </w:r>
      <w:r>
        <w:fldChar w:fldCharType="separate"/>
      </w:r>
      <w:r>
        <w:t>23</w:t>
      </w:r>
      <w:r>
        <w:fldChar w:fldCharType="end"/>
      </w:r>
      <w:r>
        <w:t>: Podmioty gospodarcze w poszczególnych JST OF w latach 2015-2019 – wskaźniki</w:t>
      </w:r>
      <w:bookmarkEnd w:id="153"/>
    </w:p>
    <w:p w:rsidR="00DC75FA" w:rsidRDefault="00887D84">
      <w:pPr>
        <w:pStyle w:val="aaardo"/>
      </w:pPr>
      <w:r>
        <w:rPr>
          <w:noProof/>
          <w:lang w:eastAsia="pl-PL"/>
        </w:rPr>
        <w:drawing>
          <wp:inline distT="0" distB="0" distL="0" distR="0">
            <wp:extent cx="5886450" cy="2828925"/>
            <wp:effectExtent l="0" t="0" r="0" b="0"/>
            <wp:docPr id="101"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77"/>
                    <pic:cNvPicPr>
                      <a:picLocks noChangeAspect="1" noChangeArrowheads="1"/>
                    </pic:cNvPicPr>
                  </pic:nvPicPr>
                  <pic:blipFill>
                    <a:blip r:embed="rId124"/>
                    <a:stretch>
                      <a:fillRect/>
                    </a:stretch>
                  </pic:blipFill>
                  <pic:spPr bwMode="auto">
                    <a:xfrm>
                      <a:off x="0" y="0"/>
                      <a:ext cx="5886450" cy="2828925"/>
                    </a:xfrm>
                    <a:prstGeom prst="rect">
                      <a:avLst/>
                    </a:prstGeom>
                  </pic:spPr>
                </pic:pic>
              </a:graphicData>
            </a:graphic>
          </wp:inline>
        </w:drawing>
      </w: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Analizując podmioty gospodarcze wg sekcji PKD można stwierdzić, że w całym analizowanym okresie, we wszystkich gminach wchodzących w skład OF główną sekcją jest sekcja G: handel hurtowy i detaliczny, naprawa pojazdów samochodowych włączając motocykle. Stanowi ona ponad 20% wszystkich podmiotów gospodarczych. Drugą w kolejności jest sekcja F tj. budownictwo, które stanowi 17% wszystkich przedsiębiorstw. Najmniej przedsiębiorstw przypisanych jest do sekcji D: wytwarzanie i zaopatrywanie w energię elektryczną, gaz, parę wodną, gorącą wodę i powietrze do układów klimatyzacyjnych. Takich podmiotów w całym OF jest tylko 4.</w:t>
      </w:r>
    </w:p>
    <w:p w:rsidR="00DC75FA" w:rsidRDefault="00887D84">
      <w:pPr>
        <w:pStyle w:val="aaapodpis"/>
      </w:pPr>
      <w:bookmarkStart w:id="154" w:name="_Toc75899294"/>
      <w:r>
        <w:t xml:space="preserve">Tabela </w:t>
      </w:r>
      <w:r>
        <w:fldChar w:fldCharType="begin"/>
      </w:r>
      <w:r>
        <w:instrText>SEQ Tabela \* ARABIC</w:instrText>
      </w:r>
      <w:r>
        <w:fldChar w:fldCharType="separate"/>
      </w:r>
      <w:r>
        <w:t>11</w:t>
      </w:r>
      <w:r>
        <w:fldChar w:fldCharType="end"/>
      </w:r>
      <w:r>
        <w:t>: Podmioty gospodarki narodowej wpisane do rejestru REGON wg sekcji PKD 2007 w poszczególnych JST na terenie OF w latach 2015-2019</w:t>
      </w:r>
      <w:bookmarkEnd w:id="154"/>
    </w:p>
    <w:tbl>
      <w:tblPr>
        <w:tblStyle w:val="Jasnecieniowanieakcent11"/>
        <w:tblW w:w="5000" w:type="pct"/>
        <w:tblLook w:val="04A0" w:firstRow="1" w:lastRow="0" w:firstColumn="1" w:lastColumn="0" w:noHBand="0" w:noVBand="1"/>
      </w:tblPr>
      <w:tblGrid>
        <w:gridCol w:w="2126"/>
        <w:gridCol w:w="956"/>
        <w:gridCol w:w="1130"/>
        <w:gridCol w:w="1129"/>
        <w:gridCol w:w="1130"/>
        <w:gridCol w:w="1129"/>
        <w:gridCol w:w="1130"/>
        <w:gridCol w:w="1124"/>
      </w:tblGrid>
      <w:tr w:rsidR="00DC75FA" w:rsidTr="00DC75F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079" w:type="dxa"/>
            <w:tcBorders>
              <w:bottom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bottom w:val="single" w:sz="4" w:space="0" w:color="5B9BD5"/>
              <w:right w:val="single" w:sz="4" w:space="0" w:color="5B9BD5"/>
            </w:tcBorders>
            <w:shd w:val="clear" w:color="auto" w:fill="auto"/>
            <w:vAlign w:val="center"/>
          </w:tcPr>
          <w:p w:rsidR="00DC75FA" w:rsidRDefault="00DC75F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Cyców</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Ludwin</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Milejów</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Puchaczów</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Urszulin</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SUMA</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ogółem</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366</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248</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440</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355</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256</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1 665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342</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249</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436</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362</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244</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1 633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350</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263</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443</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378</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253</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1 687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279</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488</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396</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264</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1 798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377</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305</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514</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394</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278</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1 868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23,0%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16,8%</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11,0%</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8,6%</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12,2%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lastRenderedPageBreak/>
              <w:t>Sekcja A: rolnictwo, leśnictwo, łowiectwo i rybactwo</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18</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77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70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67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66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60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-26,1%</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-4,8%</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-27,8%</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-45,5%</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-22,1%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B: górnictwo i wydobywanie</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-25,0%</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0,0%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C: przetwórstwo przemysłowe</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149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147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44</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154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150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155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2,4%</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-3,7%</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24,1%</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15,6%</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-31,6%</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4,0%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D: wytwarzanie i zaopatrywanie w energię elektryczną, gaz, parę wodną, gorącą wodę i powietrze do układów klimatyzacyjnych</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33,3%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E: dostawa wody, gospodarowanie ściekami i odpadami oraz działalność związana z rekultywacją</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-50,0%</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-18,2%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F: budownictwo</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59</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47</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58</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239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45</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48</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225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49</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63</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57</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253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55</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73</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63</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272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63</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67</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87</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67</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320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6,8%</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42,6%</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36,7%</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38,5%</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33,9%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G: handel hurtowy i detaliczny, naprawa pojazdów samochodowych włączając motocykle</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93</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105</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86</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77</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415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88</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56</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99</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86</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73</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402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86</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52</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97</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87</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74</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396</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103</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89</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77</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413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85</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57</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103</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82</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72</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399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-8,6%</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5,6%</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-1,9%</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-4,7%</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-6,5%</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-3,9%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H: transport i gospodarka magazynowa</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38</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27</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102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97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35</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26</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100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116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111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14,3%</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-8,3%</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10,5%</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3,7%</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27,3%</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8,8%</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I: działalność związana z zakwaterowaniem i usługami gastronomicznymi</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-57,1%</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30,0%</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25,0%</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2,5%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J: informacja i komunikacja</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200,0%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22,2%</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33,3%</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50,0%</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54,5%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K: działalność finansowa i ubezpieczenia</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36</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-33,3%</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83,3%</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-33,3%</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-33,3%</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-19,5%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L: działalność związana z obsługą rynku nieruchomości</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29</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18</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18</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36</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11,8%</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40,0%</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24,1%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M: działalność profesjonalna, naukowa i techniczna</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76</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18</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77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17</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77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18</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86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29</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22</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102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53,8%</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60,0%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26,1%</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15,8%</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36,4%</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34,2%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N: działalność w zakresie usług administrowania i działalność wspierająca</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33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51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71,4%</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55,6%</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50,0%</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54,5%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O: administracja publiczna i obrona narodowa, obowiązkowe zabezpieczenia społeczne</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55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55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55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53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53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-9,1%</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-10,0%</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-3,6%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P: edukacja</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22</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85</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22</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87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87</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22</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91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84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-9,1%</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-13,0%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20,0%</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30,0%</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-1,2%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Q: opieka zdrowotna i pomoc społeczna</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20</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64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21</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65</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71</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24</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12</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74</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10</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28</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13</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78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0,0%</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40,0%</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44,4%</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18,2%</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21,9%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R: działalność związana z kulturą , rozrywką i rekreacją</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7</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47</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16</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48</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15</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49</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11</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14</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8</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9</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50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57,1%</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-11,1%</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-12,5%</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-11,1%</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28,6%</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4,2%</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4"/>
                <w:szCs w:val="16"/>
                <w:lang w:eastAsia="pl-PL"/>
              </w:rPr>
            </w:pPr>
            <w:r>
              <w:rPr>
                <w:rFonts w:asciiTheme="majorHAnsi" w:eastAsia="Times New Roman" w:hAnsiTheme="majorHAnsi" w:cstheme="majorHAnsi"/>
                <w:sz w:val="16"/>
                <w:szCs w:val="16"/>
                <w:lang w:eastAsia="pl-PL"/>
              </w:rPr>
              <w:t xml:space="preserve">Sekcje S i T: </w:t>
            </w:r>
            <w:r>
              <w:rPr>
                <w:rFonts w:asciiTheme="majorHAnsi" w:eastAsia="Times New Roman" w:hAnsiTheme="majorHAnsi" w:cstheme="majorHAnsi"/>
                <w:sz w:val="14"/>
                <w:szCs w:val="16"/>
                <w:lang w:eastAsia="pl-PL"/>
              </w:rPr>
              <w:t>pozostała działalność usługowa; gospodarstwa domowe zatrudniające pracowników, gospodarstwa domowe produkujące wyroby i świadczące usługi na własne potrzeby</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18</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41</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38</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162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19</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38</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33</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163</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31</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23</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42</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34</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172</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32</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54</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50</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36</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211</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43</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37</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61</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50</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39</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230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38,7%</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105,6%</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48,8%</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31,6%</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14,7%</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42,0%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val="restart"/>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Sekcja U: organizacje i zespoły eksterytorialne</w:t>
            </w:r>
          </w:p>
        </w:tc>
        <w:tc>
          <w:tcPr>
            <w:tcW w:w="93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2015</w:t>
            </w:r>
          </w:p>
        </w:tc>
        <w:tc>
          <w:tcPr>
            <w:tcW w:w="1105" w:type="dxa"/>
            <w:tcBorders>
              <w:top w:val="single" w:sz="4" w:space="0" w:color="5B9BD5"/>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099"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2016</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2017</w:t>
            </w:r>
          </w:p>
        </w:tc>
        <w:tc>
          <w:tcPr>
            <w:tcW w:w="1105"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099" w:type="dxa"/>
            <w:tcBorders>
              <w:top w:val="nil"/>
              <w:left w:val="single" w:sz="4" w:space="0" w:color="5B9BD5"/>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2018</w:t>
            </w:r>
          </w:p>
        </w:tc>
        <w:tc>
          <w:tcPr>
            <w:tcW w:w="1105"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099"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nil"/>
              <w:right w:val="single" w:sz="4" w:space="0" w:color="5B9BD5"/>
            </w:tcBorders>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6"/>
                <w:szCs w:val="16"/>
                <w:lang w:eastAsia="pl-PL"/>
              </w:rPr>
            </w:pPr>
            <w:r>
              <w:rPr>
                <w:rFonts w:asciiTheme="majorHAnsi" w:eastAsia="Times New Roman" w:hAnsiTheme="majorHAnsi" w:cstheme="majorHAnsi"/>
                <w:b/>
                <w:sz w:val="16"/>
                <w:szCs w:val="16"/>
                <w:lang w:eastAsia="pl-PL"/>
              </w:rPr>
              <w:t>2019</w:t>
            </w:r>
          </w:p>
        </w:tc>
        <w:tc>
          <w:tcPr>
            <w:tcW w:w="1105" w:type="dxa"/>
            <w:tcBorders>
              <w:top w:val="nil"/>
              <w:left w:val="single" w:sz="4" w:space="0" w:color="5B9BD5"/>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4" w:type="dxa"/>
            <w:tcBorders>
              <w:top w:val="nil"/>
              <w:bottom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105" w:type="dxa"/>
            <w:tcBorders>
              <w:top w:val="nil"/>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eastAsia="pl-PL"/>
              </w:rPr>
            </w:pPr>
            <w:r>
              <w:rPr>
                <w:rFonts w:asciiTheme="majorHAnsi" w:hAnsiTheme="majorHAnsi" w:cstheme="majorHAnsi"/>
                <w:sz w:val="18"/>
                <w:szCs w:val="18"/>
              </w:rPr>
              <w:t>0</w:t>
            </w:r>
          </w:p>
        </w:tc>
        <w:tc>
          <w:tcPr>
            <w:tcW w:w="1099"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sz w:val="18"/>
                <w:szCs w:val="18"/>
                <w:lang w:eastAsia="pl-PL"/>
              </w:rPr>
            </w:pPr>
            <w:r>
              <w:rPr>
                <w:rFonts w:asciiTheme="majorHAnsi" w:hAnsiTheme="majorHAnsi" w:cstheme="majorHAnsi"/>
                <w:sz w:val="18"/>
                <w:szCs w:val="18"/>
              </w:rPr>
              <w:t>0</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079" w:type="dxa"/>
            <w:vMerge/>
            <w:tcBorders>
              <w:top w:val="nil"/>
              <w:left w:val="single" w:sz="4" w:space="0" w:color="5B9BD5"/>
              <w:bottom w:val="single" w:sz="4" w:space="0" w:color="5B9BD5"/>
              <w:right w:val="single" w:sz="4" w:space="0" w:color="5B9BD5"/>
            </w:tcBorders>
            <w:shd w:val="clear" w:color="auto" w:fill="auto"/>
            <w:vAlign w:val="center"/>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935"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sz w:val="16"/>
                <w:szCs w:val="16"/>
                <w:lang w:eastAsia="pl-PL"/>
              </w:rPr>
            </w:pPr>
            <w:r>
              <w:rPr>
                <w:rFonts w:asciiTheme="majorHAnsi" w:eastAsia="Times New Roman" w:hAnsiTheme="majorHAnsi" w:cstheme="majorHAnsi"/>
                <w:b/>
                <w:i/>
                <w:sz w:val="16"/>
                <w:szCs w:val="16"/>
                <w:lang w:eastAsia="pl-PL"/>
              </w:rPr>
              <w:t>zmiana</w:t>
            </w:r>
          </w:p>
        </w:tc>
        <w:tc>
          <w:tcPr>
            <w:tcW w:w="1105" w:type="dxa"/>
            <w:tcBorders>
              <w:top w:val="single" w:sz="4" w:space="0" w:color="5B9BD5"/>
              <w:left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105"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104" w:type="dxa"/>
            <w:tcBorders>
              <w:top w:val="single" w:sz="4" w:space="0" w:color="5B9BD5"/>
              <w:bottom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105" w:type="dxa"/>
            <w:tcBorders>
              <w:top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8"/>
                <w:szCs w:val="18"/>
                <w:lang w:eastAsia="pl-PL"/>
              </w:rPr>
            </w:pPr>
            <w:r>
              <w:rPr>
                <w:rFonts w:asciiTheme="majorHAnsi" w:hAnsiTheme="majorHAnsi" w:cstheme="majorHAnsi"/>
                <w:i/>
                <w:iCs/>
                <w:sz w:val="18"/>
                <w:szCs w:val="18"/>
              </w:rPr>
              <w:t>-</w:t>
            </w:r>
          </w:p>
        </w:tc>
        <w:tc>
          <w:tcPr>
            <w:tcW w:w="1099" w:type="dxa"/>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i/>
                <w:iCs/>
                <w:sz w:val="18"/>
                <w:szCs w:val="18"/>
                <w:lang w:eastAsia="pl-PL"/>
              </w:rPr>
            </w:pPr>
            <w:r>
              <w:rPr>
                <w:rFonts w:asciiTheme="majorHAnsi" w:hAnsiTheme="majorHAnsi" w:cstheme="majorHAnsi"/>
                <w:i/>
                <w:iCs/>
                <w:sz w:val="18"/>
                <w:szCs w:val="18"/>
              </w:rPr>
              <w:t>-</w:t>
            </w:r>
          </w:p>
        </w:tc>
      </w:tr>
    </w:tbl>
    <w:p w:rsidR="00DC75FA" w:rsidRDefault="00887D84">
      <w:pPr>
        <w:pStyle w:val="aaardo"/>
      </w:pPr>
      <w:r>
        <w:t>Źródło: opracowanie własne na podstawie danych GUS – Bank Danych Lokalnych.</w:t>
      </w:r>
    </w:p>
    <w:p w:rsidR="00DC75FA" w:rsidRDefault="00887D84">
      <w:pPr>
        <w:pStyle w:val="aaapodpis"/>
      </w:pPr>
      <w:bookmarkStart w:id="155" w:name="_Toc75899518"/>
      <w:r>
        <w:lastRenderedPageBreak/>
        <w:t xml:space="preserve">Wykres </w:t>
      </w:r>
      <w:r>
        <w:fldChar w:fldCharType="begin"/>
      </w:r>
      <w:r>
        <w:instrText>SEQ Wykres \* ARABIC</w:instrText>
      </w:r>
      <w:r>
        <w:fldChar w:fldCharType="separate"/>
      </w:r>
      <w:r>
        <w:t>24</w:t>
      </w:r>
      <w:r>
        <w:fldChar w:fldCharType="end"/>
      </w:r>
      <w:r>
        <w:t>: Podmioty gospodarki narodowej wpisane do rejestru REGON wg sekcji PKD 2007 na terenie OF w latach 2015-2019</w:t>
      </w:r>
      <w:bookmarkEnd w:id="155"/>
    </w:p>
    <w:p w:rsidR="00DC75FA" w:rsidRDefault="00887D84">
      <w:pPr>
        <w:pStyle w:val="aaardo"/>
      </w:pPr>
      <w:r>
        <w:rPr>
          <w:noProof/>
          <w:lang w:eastAsia="pl-PL"/>
        </w:rPr>
        <w:drawing>
          <wp:inline distT="0" distB="0" distL="0" distR="0">
            <wp:extent cx="6056630" cy="2743200"/>
            <wp:effectExtent l="0" t="0" r="0" b="0"/>
            <wp:docPr id="102" name="Wykres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t>Źródło: opracowanie własne na podstawie danych GUS – Bank Danych Lokalnych.</w:t>
      </w:r>
    </w:p>
    <w:p w:rsidR="00DC75FA" w:rsidRDefault="00887D84">
      <w:pPr>
        <w:ind w:firstLine="567"/>
        <w:jc w:val="both"/>
        <w:rPr>
          <w:rFonts w:ascii="Times New Roman" w:hAnsi="Times New Roman" w:cs="Times New Roman"/>
          <w:highlight w:val="yellow"/>
        </w:rPr>
      </w:pPr>
      <w:r>
        <w:rPr>
          <w:rFonts w:ascii="Times New Roman" w:hAnsi="Times New Roman" w:cs="Times New Roman"/>
        </w:rPr>
        <w:t xml:space="preserve">Czynnikami sprzyjającymi rozwojowi przedsiębiorczości i inwestycji są miejscowe plany zagospodarowania przestrzennego i wyznaczone w nich tereny pod przemysł i usługi. Miejscowe plany zagospodarowania przestrzennego ustalone zostały we wszystkich gminach wchodzących w skład obszaru funkcjonalnego. </w:t>
      </w:r>
    </w:p>
    <w:p w:rsidR="00DC75FA" w:rsidRDefault="00887D84">
      <w:pPr>
        <w:ind w:firstLine="567"/>
        <w:rPr>
          <w:rFonts w:ascii="Times New Roman" w:hAnsi="Times New Roman" w:cs="Times New Roman"/>
          <w:b/>
          <w:sz w:val="24"/>
          <w:szCs w:val="24"/>
          <w:highlight w:val="yellow"/>
        </w:rPr>
      </w:pPr>
      <w:r>
        <w:br w:type="page"/>
      </w:r>
    </w:p>
    <w:p w:rsidR="00DC75FA" w:rsidRDefault="00887D84">
      <w:pPr>
        <w:pStyle w:val="Bezodstpw"/>
        <w:numPr>
          <w:ilvl w:val="1"/>
          <w:numId w:val="25"/>
        </w:numPr>
        <w:spacing w:after="240" w:line="276" w:lineRule="auto"/>
        <w:ind w:left="788" w:hanging="431"/>
        <w:jc w:val="both"/>
        <w:outlineLvl w:val="2"/>
        <w:rPr>
          <w:rFonts w:ascii="Times New Roman" w:hAnsi="Times New Roman" w:cs="Times New Roman"/>
          <w:b/>
          <w:color w:val="5B9BD5" w:themeColor="accent1"/>
          <w:sz w:val="24"/>
          <w:szCs w:val="24"/>
        </w:rPr>
      </w:pPr>
      <w:bookmarkStart w:id="156" w:name="_Toc116896682"/>
      <w:bookmarkStart w:id="157" w:name="_Toc105754714"/>
      <w:r>
        <w:rPr>
          <w:rFonts w:ascii="Times New Roman" w:hAnsi="Times New Roman" w:cs="Times New Roman"/>
          <w:b/>
          <w:color w:val="5B9BD5" w:themeColor="accent1"/>
          <w:sz w:val="24"/>
          <w:szCs w:val="24"/>
        </w:rPr>
        <w:lastRenderedPageBreak/>
        <w:t>KULTURA, WIZERUNEK I CZAS WOLNY</w:t>
      </w:r>
      <w:bookmarkEnd w:id="156"/>
      <w:bookmarkEnd w:id="157"/>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158" w:name="_Toc116896683"/>
      <w:r>
        <w:rPr>
          <w:rFonts w:ascii="Times New Roman" w:hAnsi="Times New Roman" w:cs="Times New Roman"/>
          <w:b/>
          <w:color w:val="5B9BD5" w:themeColor="accent1"/>
          <w:sz w:val="24"/>
          <w:szCs w:val="24"/>
        </w:rPr>
        <w:t>Atrakcyjność turystyczna gminy</w:t>
      </w:r>
      <w:bookmarkEnd w:id="158"/>
    </w:p>
    <w:p w:rsidR="00DC75FA" w:rsidRDefault="00887D84">
      <w:pPr>
        <w:spacing w:after="0"/>
        <w:ind w:firstLine="567"/>
        <w:jc w:val="both"/>
        <w:rPr>
          <w:rFonts w:ascii="Times New Roman" w:hAnsi="Times New Roman" w:cs="Times New Roman"/>
        </w:rPr>
      </w:pPr>
      <w:r>
        <w:rPr>
          <w:rFonts w:ascii="Times New Roman" w:hAnsi="Times New Roman" w:cs="Times New Roman"/>
        </w:rPr>
        <w:t xml:space="preserve">Omawiany Obszar Funkcjonalny charakteryzuje się bogatą ofertą turystyczną. Na terenie gmin Puchaczów, Cyców, Milejów, Ludwin, Łęczna, Spiczyn powstały liczne trasy rowerowe, które zostały zrealizowane dzięki projektowi „Daleko od szosy” współfinansowanego ze środków Wojewódzkiego Funduszu Ochrony Środowiska i Gospodarki Wodnej. Projekt ten wyznacza sześć tras rowerowych z czego pięć z nich zawartych jest w granicach OF. Trasy te wpływają zarówno na jakość komunikacji między miejscowościami, jak i przyczyniają się do atrakcyjności turystycznej obszaru funkcjonalnego. Wśród szlaków można wyróżnić: </w:t>
      </w:r>
    </w:p>
    <w:p w:rsidR="00DC75FA" w:rsidRDefault="00887D84">
      <w:pPr>
        <w:pStyle w:val="Akapitzlist"/>
        <w:numPr>
          <w:ilvl w:val="0"/>
          <w:numId w:val="53"/>
        </w:numPr>
        <w:spacing w:after="0" w:line="276" w:lineRule="auto"/>
        <w:jc w:val="both"/>
        <w:rPr>
          <w:rFonts w:ascii="Times New Roman" w:hAnsi="Times New Roman" w:cs="Times New Roman"/>
        </w:rPr>
      </w:pPr>
      <w:r>
        <w:rPr>
          <w:rFonts w:ascii="Times New Roman" w:hAnsi="Times New Roman" w:cs="Times New Roman"/>
        </w:rPr>
        <w:t>trasę nr 1, która przebiega przez gminy: Puchaczów, Ludwin, Spiczyn – o długości 42 km</w:t>
      </w:r>
    </w:p>
    <w:p w:rsidR="00DC75FA" w:rsidRDefault="00887D84">
      <w:pPr>
        <w:pStyle w:val="Akapitzlist"/>
        <w:numPr>
          <w:ilvl w:val="0"/>
          <w:numId w:val="53"/>
        </w:numPr>
        <w:spacing w:after="0" w:line="276" w:lineRule="auto"/>
        <w:jc w:val="both"/>
        <w:rPr>
          <w:rFonts w:ascii="Times New Roman" w:hAnsi="Times New Roman" w:cs="Times New Roman"/>
        </w:rPr>
      </w:pPr>
      <w:r>
        <w:rPr>
          <w:rFonts w:ascii="Times New Roman" w:hAnsi="Times New Roman" w:cs="Times New Roman"/>
        </w:rPr>
        <w:t>trasę nr 3, która przebiega przez gminy: Cyców, Puchaczów (pętla) – o długości 35 km</w:t>
      </w:r>
    </w:p>
    <w:p w:rsidR="00DC75FA" w:rsidRDefault="00887D84">
      <w:pPr>
        <w:pStyle w:val="Akapitzlist"/>
        <w:numPr>
          <w:ilvl w:val="0"/>
          <w:numId w:val="53"/>
        </w:numPr>
        <w:spacing w:after="0" w:line="276" w:lineRule="auto"/>
        <w:jc w:val="both"/>
        <w:rPr>
          <w:rFonts w:ascii="Times New Roman" w:hAnsi="Times New Roman" w:cs="Times New Roman"/>
        </w:rPr>
      </w:pPr>
      <w:r>
        <w:rPr>
          <w:rFonts w:ascii="Times New Roman" w:hAnsi="Times New Roman" w:cs="Times New Roman"/>
        </w:rPr>
        <w:t>trasę nr 4, która przebiega przez gminy: Łęczna, Milejów, Puchaczów (pętla) – o długości 44 km</w:t>
      </w:r>
    </w:p>
    <w:p w:rsidR="00DC75FA" w:rsidRDefault="00887D84">
      <w:pPr>
        <w:pStyle w:val="Akapitzlist"/>
        <w:numPr>
          <w:ilvl w:val="0"/>
          <w:numId w:val="53"/>
        </w:numPr>
        <w:spacing w:after="0" w:line="276" w:lineRule="auto"/>
        <w:jc w:val="both"/>
        <w:rPr>
          <w:rFonts w:ascii="Times New Roman" w:hAnsi="Times New Roman" w:cs="Times New Roman"/>
        </w:rPr>
      </w:pPr>
      <w:r>
        <w:rPr>
          <w:rFonts w:ascii="Times New Roman" w:hAnsi="Times New Roman" w:cs="Times New Roman"/>
        </w:rPr>
        <w:t>trasę nr 5, która przebiega przez gminy: Cyców (pętla) – o długości 21 km</w:t>
      </w:r>
    </w:p>
    <w:p w:rsidR="00DC75FA" w:rsidRDefault="00887D84">
      <w:pPr>
        <w:pStyle w:val="Akapitzlist"/>
        <w:numPr>
          <w:ilvl w:val="0"/>
          <w:numId w:val="53"/>
        </w:numPr>
        <w:spacing w:after="0" w:line="276" w:lineRule="auto"/>
        <w:jc w:val="both"/>
        <w:rPr>
          <w:rFonts w:ascii="Times New Roman" w:hAnsi="Times New Roman" w:cs="Times New Roman"/>
        </w:rPr>
      </w:pPr>
      <w:r>
        <w:rPr>
          <w:rFonts w:ascii="Times New Roman" w:hAnsi="Times New Roman" w:cs="Times New Roman"/>
        </w:rPr>
        <w:t xml:space="preserve">trasę nr 6 , która przebiega przez gminy: Łęczna, Milejów, Puchaczów, Cyców – o długości 26 km. </w:t>
      </w:r>
    </w:p>
    <w:p w:rsidR="00DC75FA" w:rsidRDefault="00887D84">
      <w:pPr>
        <w:spacing w:after="0"/>
        <w:ind w:firstLine="567"/>
        <w:jc w:val="both"/>
        <w:rPr>
          <w:rFonts w:ascii="Times New Roman" w:hAnsi="Times New Roman" w:cs="Times New Roman"/>
        </w:rPr>
      </w:pPr>
      <w:r>
        <w:rPr>
          <w:rFonts w:ascii="Times New Roman" w:hAnsi="Times New Roman" w:cs="Times New Roman"/>
        </w:rPr>
        <w:t xml:space="preserve">Kolejnymi atrakcjami turystycznymi znajdującymi się w Obszarze Funkcjonalnym są szlaki edukacyjne. W gminie Urszulin znajduje się siedziba Dyrekcji Poleskiego Parku Narodowego, w miejscu którym swój początek mają niektóre szlaki turystyczne takie jak ścieżka „Tropem Przyrody” czy „Spławy”. Przy budynku Dyrekcji Poleskiego Parku Narodowego funkcjonuje również wypożyczalnia rowerów, która umożliwia turystom przemieszczanie się do ścieżek turystycznych, które mają swój początek w miejscowościach ościennych. Pod względem aktywnego wypoczynku OF cieszy się popularnością przez wykorzystywanie szlaków konnych, tras kajakowych, rowerowych, </w:t>
      </w:r>
      <w:proofErr w:type="spellStart"/>
      <w:r>
        <w:rPr>
          <w:rFonts w:ascii="Times New Roman" w:hAnsi="Times New Roman" w:cs="Times New Roman"/>
        </w:rPr>
        <w:t>nordic</w:t>
      </w:r>
      <w:proofErr w:type="spellEnd"/>
      <w:r>
        <w:rPr>
          <w:rFonts w:ascii="Times New Roman" w:hAnsi="Times New Roman" w:cs="Times New Roman"/>
        </w:rPr>
        <w:t xml:space="preserve"> </w:t>
      </w:r>
      <w:proofErr w:type="spellStart"/>
      <w:r>
        <w:rPr>
          <w:rFonts w:ascii="Times New Roman" w:hAnsi="Times New Roman" w:cs="Times New Roman"/>
        </w:rPr>
        <w:t>walkingu</w:t>
      </w:r>
      <w:proofErr w:type="spellEnd"/>
      <w:r>
        <w:rPr>
          <w:rFonts w:ascii="Times New Roman" w:hAnsi="Times New Roman" w:cs="Times New Roman"/>
        </w:rPr>
        <w:t xml:space="preserve">, </w:t>
      </w:r>
      <w:proofErr w:type="spellStart"/>
      <w:r>
        <w:rPr>
          <w:rFonts w:ascii="Times New Roman" w:hAnsi="Times New Roman" w:cs="Times New Roman"/>
        </w:rPr>
        <w:t>birdwatchingu</w:t>
      </w:r>
      <w:proofErr w:type="spellEnd"/>
      <w:r>
        <w:rPr>
          <w:rFonts w:ascii="Times New Roman" w:hAnsi="Times New Roman" w:cs="Times New Roman"/>
        </w:rPr>
        <w:t>, szlaków wyznaczonych przez PTTK oraz ścieżek przyrodniczych Poleskiego Parku Narodowego.</w:t>
      </w:r>
    </w:p>
    <w:p w:rsidR="00DC75FA" w:rsidRDefault="00887D84">
      <w:pPr>
        <w:spacing w:after="0"/>
        <w:ind w:firstLine="567"/>
        <w:jc w:val="both"/>
        <w:rPr>
          <w:rFonts w:ascii="Times New Roman" w:hAnsi="Times New Roman" w:cs="Times New Roman"/>
        </w:rPr>
      </w:pPr>
      <w:r>
        <w:rPr>
          <w:rFonts w:ascii="Times New Roman" w:hAnsi="Times New Roman" w:cs="Times New Roman"/>
        </w:rPr>
        <w:t>Turyści odwiedzający OF mogą korzystać z licznych noclegów w hotelach, schroniskach czy gospodarstwach agroturystycznych, należą do nich m.in.:</w:t>
      </w:r>
    </w:p>
    <w:p w:rsidR="00DC75FA" w:rsidRDefault="00887D84">
      <w:pPr>
        <w:pStyle w:val="Akapitzlist"/>
        <w:numPr>
          <w:ilvl w:val="0"/>
          <w:numId w:val="54"/>
        </w:numPr>
        <w:spacing w:after="0" w:line="276" w:lineRule="auto"/>
        <w:jc w:val="both"/>
        <w:rPr>
          <w:rFonts w:ascii="Times New Roman" w:hAnsi="Times New Roman" w:cs="Times New Roman"/>
        </w:rPr>
      </w:pPr>
      <w:r>
        <w:rPr>
          <w:rFonts w:ascii="Times New Roman" w:hAnsi="Times New Roman" w:cs="Times New Roman"/>
        </w:rPr>
        <w:t>Majątek Rutka w Puchaczowie,</w:t>
      </w:r>
    </w:p>
    <w:p w:rsidR="00DC75FA" w:rsidRDefault="00887D84">
      <w:pPr>
        <w:pStyle w:val="Akapitzlist"/>
        <w:numPr>
          <w:ilvl w:val="0"/>
          <w:numId w:val="54"/>
        </w:numPr>
        <w:spacing w:after="0" w:line="276" w:lineRule="auto"/>
        <w:jc w:val="both"/>
        <w:rPr>
          <w:rFonts w:ascii="Times New Roman" w:hAnsi="Times New Roman" w:cs="Times New Roman"/>
        </w:rPr>
      </w:pPr>
      <w:r>
        <w:rPr>
          <w:rFonts w:ascii="Times New Roman" w:hAnsi="Times New Roman" w:cs="Times New Roman"/>
        </w:rPr>
        <w:t xml:space="preserve">Siedlisko </w:t>
      </w:r>
      <w:proofErr w:type="spellStart"/>
      <w:r>
        <w:rPr>
          <w:rFonts w:ascii="Times New Roman" w:hAnsi="Times New Roman" w:cs="Times New Roman"/>
        </w:rPr>
        <w:t>Józefka</w:t>
      </w:r>
      <w:proofErr w:type="spellEnd"/>
      <w:r>
        <w:rPr>
          <w:rFonts w:ascii="Times New Roman" w:hAnsi="Times New Roman" w:cs="Times New Roman"/>
        </w:rPr>
        <w:t xml:space="preserve"> w Zaróbce,</w:t>
      </w:r>
    </w:p>
    <w:p w:rsidR="00DC75FA" w:rsidRDefault="00887D84">
      <w:pPr>
        <w:pStyle w:val="Akapitzlist"/>
        <w:numPr>
          <w:ilvl w:val="0"/>
          <w:numId w:val="54"/>
        </w:numPr>
        <w:spacing w:after="0" w:line="276" w:lineRule="auto"/>
        <w:jc w:val="both"/>
        <w:rPr>
          <w:rFonts w:ascii="Times New Roman" w:hAnsi="Times New Roman" w:cs="Times New Roman"/>
        </w:rPr>
      </w:pPr>
      <w:r>
        <w:rPr>
          <w:rFonts w:ascii="Times New Roman" w:hAnsi="Times New Roman" w:cs="Times New Roman"/>
        </w:rPr>
        <w:t>Ośrodek Marynka w Wólce Cycowskiej,</w:t>
      </w:r>
    </w:p>
    <w:p w:rsidR="00DC75FA" w:rsidRDefault="00887D84">
      <w:pPr>
        <w:pStyle w:val="Akapitzlist"/>
        <w:numPr>
          <w:ilvl w:val="0"/>
          <w:numId w:val="54"/>
        </w:numPr>
        <w:spacing w:after="0" w:line="276" w:lineRule="auto"/>
        <w:jc w:val="both"/>
        <w:rPr>
          <w:rFonts w:ascii="Times New Roman" w:hAnsi="Times New Roman" w:cs="Times New Roman"/>
        </w:rPr>
      </w:pPr>
      <w:r>
        <w:rPr>
          <w:rFonts w:ascii="Times New Roman" w:hAnsi="Times New Roman" w:cs="Times New Roman"/>
        </w:rPr>
        <w:t xml:space="preserve">Noclegi Restauracja </w:t>
      </w:r>
      <w:proofErr w:type="spellStart"/>
      <w:r>
        <w:rPr>
          <w:rFonts w:ascii="Times New Roman" w:hAnsi="Times New Roman" w:cs="Times New Roman"/>
        </w:rPr>
        <w:t>Applause</w:t>
      </w:r>
      <w:proofErr w:type="spellEnd"/>
      <w:r>
        <w:rPr>
          <w:rFonts w:ascii="Times New Roman" w:hAnsi="Times New Roman" w:cs="Times New Roman"/>
        </w:rPr>
        <w:t xml:space="preserve"> w Ludwinie,</w:t>
      </w:r>
    </w:p>
    <w:p w:rsidR="00DC75FA" w:rsidRDefault="00887D84">
      <w:pPr>
        <w:pStyle w:val="Akapitzlist"/>
        <w:numPr>
          <w:ilvl w:val="0"/>
          <w:numId w:val="54"/>
        </w:numPr>
        <w:spacing w:after="0" w:line="276" w:lineRule="auto"/>
        <w:jc w:val="both"/>
        <w:rPr>
          <w:rFonts w:ascii="Times New Roman" w:hAnsi="Times New Roman" w:cs="Times New Roman"/>
        </w:rPr>
      </w:pPr>
      <w:r>
        <w:rPr>
          <w:rFonts w:ascii="Times New Roman" w:hAnsi="Times New Roman" w:cs="Times New Roman"/>
        </w:rPr>
        <w:t>Siedlisko Bolek w Nadrybie-Wieś,</w:t>
      </w:r>
    </w:p>
    <w:p w:rsidR="00DC75FA" w:rsidRDefault="00887D84">
      <w:pPr>
        <w:pStyle w:val="Akapitzlist"/>
        <w:numPr>
          <w:ilvl w:val="0"/>
          <w:numId w:val="54"/>
        </w:numPr>
        <w:spacing w:after="0" w:line="276" w:lineRule="auto"/>
        <w:jc w:val="both"/>
        <w:rPr>
          <w:rFonts w:ascii="Times New Roman" w:hAnsi="Times New Roman" w:cs="Times New Roman"/>
        </w:rPr>
      </w:pPr>
      <w:r>
        <w:rPr>
          <w:rFonts w:ascii="Times New Roman" w:hAnsi="Times New Roman" w:cs="Times New Roman"/>
        </w:rPr>
        <w:t xml:space="preserve">Hotel </w:t>
      </w:r>
      <w:proofErr w:type="spellStart"/>
      <w:r>
        <w:rPr>
          <w:rFonts w:ascii="Times New Roman" w:hAnsi="Times New Roman" w:cs="Times New Roman"/>
        </w:rPr>
        <w:t>Drob</w:t>
      </w:r>
      <w:proofErr w:type="spellEnd"/>
      <w:r>
        <w:rPr>
          <w:rFonts w:ascii="Times New Roman" w:hAnsi="Times New Roman" w:cs="Times New Roman"/>
        </w:rPr>
        <w:t xml:space="preserve"> w Urszulinie,</w:t>
      </w:r>
    </w:p>
    <w:p w:rsidR="00DC75FA" w:rsidRDefault="00887D84">
      <w:pPr>
        <w:pStyle w:val="Akapitzlist"/>
        <w:numPr>
          <w:ilvl w:val="0"/>
          <w:numId w:val="54"/>
        </w:numPr>
        <w:spacing w:after="0" w:line="276" w:lineRule="auto"/>
        <w:jc w:val="both"/>
        <w:rPr>
          <w:rFonts w:ascii="Times New Roman" w:hAnsi="Times New Roman" w:cs="Times New Roman"/>
        </w:rPr>
      </w:pPr>
      <w:r>
        <w:rPr>
          <w:rFonts w:ascii="Times New Roman" w:hAnsi="Times New Roman" w:cs="Times New Roman"/>
        </w:rPr>
        <w:t>Schronisko Młodzieżowe przy Szkole Podstawowej w Urszulinie,</w:t>
      </w:r>
    </w:p>
    <w:p w:rsidR="00DC75FA" w:rsidRDefault="00887D84">
      <w:pPr>
        <w:pStyle w:val="Akapitzlist"/>
        <w:numPr>
          <w:ilvl w:val="0"/>
          <w:numId w:val="54"/>
        </w:numPr>
        <w:spacing w:after="0" w:line="276" w:lineRule="auto"/>
        <w:jc w:val="both"/>
        <w:rPr>
          <w:rFonts w:ascii="Times New Roman" w:hAnsi="Times New Roman" w:cs="Times New Roman"/>
        </w:rPr>
      </w:pPr>
      <w:r>
        <w:rPr>
          <w:rFonts w:ascii="Times New Roman" w:hAnsi="Times New Roman" w:cs="Times New Roman"/>
        </w:rPr>
        <w:t xml:space="preserve">Zajazd </w:t>
      </w:r>
      <w:proofErr w:type="spellStart"/>
      <w:r>
        <w:rPr>
          <w:rFonts w:ascii="Times New Roman" w:hAnsi="Times New Roman" w:cs="Times New Roman"/>
        </w:rPr>
        <w:t>Drob</w:t>
      </w:r>
      <w:proofErr w:type="spellEnd"/>
      <w:r>
        <w:rPr>
          <w:rFonts w:ascii="Times New Roman" w:hAnsi="Times New Roman" w:cs="Times New Roman"/>
        </w:rPr>
        <w:t xml:space="preserve"> w Urszulinie,</w:t>
      </w:r>
    </w:p>
    <w:p w:rsidR="00DC75FA" w:rsidRDefault="00887D84">
      <w:pPr>
        <w:pStyle w:val="Akapitzlist"/>
        <w:numPr>
          <w:ilvl w:val="0"/>
          <w:numId w:val="54"/>
        </w:numPr>
        <w:spacing w:after="0" w:line="276" w:lineRule="auto"/>
        <w:jc w:val="both"/>
        <w:rPr>
          <w:rFonts w:ascii="Times New Roman" w:hAnsi="Times New Roman" w:cs="Times New Roman"/>
        </w:rPr>
      </w:pPr>
      <w:r>
        <w:rPr>
          <w:rFonts w:ascii="Times New Roman" w:hAnsi="Times New Roman" w:cs="Times New Roman"/>
        </w:rPr>
        <w:t>gospodarstwa agroturystyczne z pojedynczymi domkami do wynajęcia.</w:t>
      </w:r>
    </w:p>
    <w:p w:rsidR="00DC75FA" w:rsidRDefault="00887D84">
      <w:pPr>
        <w:spacing w:after="0"/>
        <w:ind w:firstLine="567"/>
        <w:jc w:val="both"/>
        <w:rPr>
          <w:rFonts w:ascii="Times New Roman" w:hAnsi="Times New Roman" w:cs="Times New Roman"/>
        </w:rPr>
      </w:pPr>
      <w:r>
        <w:rPr>
          <w:rFonts w:ascii="Times New Roman" w:hAnsi="Times New Roman" w:cs="Times New Roman"/>
        </w:rPr>
        <w:t>Ważnym elementem krajobrazu są obiekty zabytkowe. Pełne wykorzystanie zasobów kulturowych danego obszaru stanowi podstawową przesłankę rozwoju lokalnego. W ramach dziedzictwa kulturowego wymienić można dwie główne, wzajemnie powiązane grupy: dorobek kultury materialnej oraz dorobek w ramach kultury duchowej. Poniżej przedstawione zostały zabytki z terenu OF wpisane do Centralnego Rejestru Zabytków oraz znajdujące się w ewidencji Lubelskiego Wojewódzkiego Konserwatora Zabytków, objęte pośrednią ochroną:</w:t>
      </w:r>
    </w:p>
    <w:p w:rsidR="00DC75FA" w:rsidRDefault="00887D84">
      <w:pPr>
        <w:pStyle w:val="Default"/>
        <w:numPr>
          <w:ilvl w:val="0"/>
          <w:numId w:val="45"/>
        </w:numPr>
        <w:spacing w:line="276" w:lineRule="auto"/>
        <w:ind w:left="426" w:hanging="426"/>
        <w:jc w:val="both"/>
        <w:rPr>
          <w:rFonts w:ascii="Times New Roman" w:hAnsi="Times New Roman" w:cs="Times New Roman"/>
          <w:sz w:val="22"/>
          <w:szCs w:val="22"/>
        </w:rPr>
      </w:pPr>
      <w:r>
        <w:rPr>
          <w:rFonts w:ascii="Times New Roman" w:hAnsi="Times New Roman" w:cs="Times New Roman"/>
          <w:sz w:val="22"/>
          <w:szCs w:val="22"/>
        </w:rPr>
        <w:t>Gmina Cyców:</w:t>
      </w:r>
    </w:p>
    <w:p w:rsidR="00DC75FA" w:rsidRDefault="00887D84">
      <w:pPr>
        <w:pStyle w:val="Default"/>
        <w:numPr>
          <w:ilvl w:val="1"/>
          <w:numId w:val="45"/>
        </w:numPr>
        <w:spacing w:line="276" w:lineRule="auto"/>
        <w:ind w:left="851" w:hanging="426"/>
        <w:jc w:val="both"/>
        <w:rPr>
          <w:rFonts w:ascii="Times New Roman" w:hAnsi="Times New Roman" w:cs="Times New Roman"/>
          <w:sz w:val="22"/>
          <w:szCs w:val="22"/>
        </w:rPr>
      </w:pPr>
      <w:r>
        <w:rPr>
          <w:rFonts w:ascii="Times New Roman" w:eastAsiaTheme="minorHAnsi" w:hAnsi="Times New Roman" w:cs="Times New Roman"/>
          <w:color w:val="auto"/>
          <w:sz w:val="22"/>
          <w:szCs w:val="22"/>
        </w:rPr>
        <w:t>Zespół dworsko-parkowy w Świerszczowie – Nr rejestru A – 187;</w:t>
      </w:r>
    </w:p>
    <w:p w:rsidR="00DC75FA" w:rsidRDefault="00887D84">
      <w:pPr>
        <w:pStyle w:val="Default"/>
        <w:numPr>
          <w:ilvl w:val="1"/>
          <w:numId w:val="45"/>
        </w:numPr>
        <w:spacing w:line="276" w:lineRule="auto"/>
        <w:ind w:left="851" w:hanging="426"/>
        <w:jc w:val="both"/>
        <w:rPr>
          <w:rFonts w:ascii="Times New Roman" w:hAnsi="Times New Roman" w:cs="Times New Roman"/>
          <w:sz w:val="22"/>
          <w:szCs w:val="22"/>
        </w:rPr>
      </w:pPr>
      <w:r>
        <w:rPr>
          <w:rFonts w:ascii="Times New Roman" w:eastAsiaTheme="minorHAnsi" w:hAnsi="Times New Roman" w:cs="Times New Roman"/>
          <w:color w:val="auto"/>
          <w:sz w:val="22"/>
          <w:szCs w:val="22"/>
        </w:rPr>
        <w:t>Zespół dworsko-parkowy w Garbatówce – Nr rejestru A – 188;</w:t>
      </w:r>
    </w:p>
    <w:p w:rsidR="00DC75FA" w:rsidRDefault="00887D84">
      <w:pPr>
        <w:pStyle w:val="Default"/>
        <w:numPr>
          <w:ilvl w:val="1"/>
          <w:numId w:val="45"/>
        </w:numPr>
        <w:spacing w:line="276" w:lineRule="auto"/>
        <w:ind w:left="851" w:hanging="426"/>
        <w:jc w:val="both"/>
        <w:rPr>
          <w:rFonts w:ascii="Times New Roman" w:hAnsi="Times New Roman" w:cs="Times New Roman"/>
          <w:sz w:val="22"/>
          <w:szCs w:val="22"/>
        </w:rPr>
      </w:pPr>
      <w:r>
        <w:rPr>
          <w:rFonts w:ascii="Times New Roman" w:eastAsiaTheme="minorHAnsi" w:hAnsi="Times New Roman" w:cs="Times New Roman"/>
          <w:color w:val="auto"/>
          <w:sz w:val="22"/>
          <w:szCs w:val="22"/>
        </w:rPr>
        <w:t>Zespół dawnej cerkwi greko-katolickiej w Świerszczowie – Nr rejestru A 784;</w:t>
      </w:r>
    </w:p>
    <w:p w:rsidR="00DC75FA" w:rsidRDefault="00887D84">
      <w:pPr>
        <w:pStyle w:val="Default"/>
        <w:numPr>
          <w:ilvl w:val="1"/>
          <w:numId w:val="45"/>
        </w:numPr>
        <w:spacing w:line="276" w:lineRule="auto"/>
        <w:ind w:left="851" w:hanging="426"/>
        <w:jc w:val="both"/>
        <w:rPr>
          <w:rFonts w:ascii="Times New Roman" w:hAnsi="Times New Roman" w:cs="Times New Roman"/>
          <w:sz w:val="22"/>
          <w:szCs w:val="22"/>
        </w:rPr>
      </w:pPr>
      <w:r>
        <w:rPr>
          <w:rFonts w:ascii="Times New Roman" w:eastAsiaTheme="minorHAnsi" w:hAnsi="Times New Roman" w:cs="Times New Roman"/>
          <w:color w:val="auto"/>
          <w:sz w:val="22"/>
          <w:szCs w:val="22"/>
        </w:rPr>
        <w:t>Zespół dawnej cerkwi grecko-katolickiej w Cycowie – Nr rejestru A 140/86,</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Budynek szkoły podstawowej z 1926 r. – Cyców, ul. Chełmska 44;</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Dom mieszkalny z poł. XIX w. – Cyców, ul. Chełmska 81;</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Budynek mieszkalny, drewniany dom pastora – Cyców, ul. Kościelna 517;</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lastRenderedPageBreak/>
        <w:t>Dawny zbór ewangelicki z 1875 r. (obecnie nieużytkowany), z zachowanym drzewostanem – ul. Kościelna.</w:t>
      </w:r>
    </w:p>
    <w:p w:rsidR="00DC75FA" w:rsidRDefault="00887D84">
      <w:pPr>
        <w:pStyle w:val="Default"/>
        <w:numPr>
          <w:ilvl w:val="0"/>
          <w:numId w:val="45"/>
        </w:numPr>
        <w:spacing w:line="276" w:lineRule="auto"/>
        <w:ind w:left="426" w:hanging="426"/>
        <w:jc w:val="both"/>
        <w:rPr>
          <w:rFonts w:ascii="Times New Roman" w:hAnsi="Times New Roman" w:cs="Times New Roman"/>
          <w:sz w:val="22"/>
          <w:szCs w:val="22"/>
        </w:rPr>
      </w:pPr>
      <w:r>
        <w:rPr>
          <w:rFonts w:ascii="Times New Roman" w:hAnsi="Times New Roman" w:cs="Times New Roman"/>
          <w:sz w:val="22"/>
          <w:szCs w:val="22"/>
        </w:rPr>
        <w:t>Gmina Ludwin:</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Dratów – cerkiew pw. św. Mikołaja, murowana, z początku XIX w., nr rej. A/986. Cerkiew powstała ok. 1880 r. Na ten zabytkowy zespół składa się również: drzewostan otaczający cerkiew, aleja dojazdowa i dom duszpasterstwa, tzw. „</w:t>
      </w:r>
      <w:proofErr w:type="spellStart"/>
      <w:r>
        <w:rPr>
          <w:rFonts w:ascii="Times New Roman" w:eastAsiaTheme="minorHAnsi" w:hAnsi="Times New Roman" w:cs="Times New Roman"/>
          <w:color w:val="auto"/>
          <w:sz w:val="22"/>
          <w:szCs w:val="22"/>
        </w:rPr>
        <w:t>popówka</w:t>
      </w:r>
      <w:proofErr w:type="spellEnd"/>
      <w:r>
        <w:rPr>
          <w:rFonts w:ascii="Times New Roman" w:eastAsiaTheme="minorHAnsi" w:hAnsi="Times New Roman" w:cs="Times New Roman"/>
          <w:color w:val="auto"/>
          <w:sz w:val="22"/>
          <w:szCs w:val="22"/>
        </w:rPr>
        <w:t xml:space="preserve">”. </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Kaniwola – zespół dworsko-parkowy z początku XX w. (własność prywatna), rej. A/987, dwór murowany z ok. 1922 r., spichlerz (murowano-drewniany) z 1922 r., budynek gospodarczy murowany z lat 20-tych XX w. oraz park z początku XX w. </w:t>
      </w:r>
    </w:p>
    <w:p w:rsidR="00DC75FA" w:rsidRDefault="00887D84">
      <w:pPr>
        <w:pStyle w:val="Default"/>
        <w:numPr>
          <w:ilvl w:val="1"/>
          <w:numId w:val="45"/>
        </w:numPr>
        <w:spacing w:line="276" w:lineRule="auto"/>
        <w:ind w:left="851" w:hanging="426"/>
        <w:jc w:val="both"/>
        <w:rPr>
          <w:rFonts w:ascii="Times New Roman" w:hAnsi="Times New Roman" w:cs="Times New Roman"/>
          <w:sz w:val="22"/>
          <w:szCs w:val="22"/>
        </w:rPr>
      </w:pPr>
      <w:r>
        <w:rPr>
          <w:rFonts w:ascii="Times New Roman" w:eastAsiaTheme="minorHAnsi" w:hAnsi="Times New Roman" w:cs="Times New Roman"/>
          <w:color w:val="auto"/>
          <w:sz w:val="22"/>
          <w:szCs w:val="22"/>
        </w:rPr>
        <w:t>Budynek Urzędu Gminy w Ludwinie</w:t>
      </w:r>
    </w:p>
    <w:p w:rsidR="00DC75FA" w:rsidRDefault="00887D84">
      <w:pPr>
        <w:pStyle w:val="Default"/>
        <w:numPr>
          <w:ilvl w:val="1"/>
          <w:numId w:val="45"/>
        </w:numPr>
        <w:spacing w:line="276" w:lineRule="auto"/>
        <w:ind w:left="851" w:hanging="426"/>
        <w:jc w:val="both"/>
        <w:rPr>
          <w:rFonts w:ascii="Times New Roman" w:hAnsi="Times New Roman" w:cs="Times New Roman"/>
          <w:sz w:val="22"/>
          <w:szCs w:val="22"/>
        </w:rPr>
      </w:pPr>
      <w:r>
        <w:rPr>
          <w:rFonts w:ascii="Times New Roman" w:eastAsiaTheme="minorHAnsi" w:hAnsi="Times New Roman" w:cs="Times New Roman"/>
          <w:color w:val="auto"/>
          <w:sz w:val="22"/>
          <w:szCs w:val="22"/>
        </w:rPr>
        <w:t>Dworek z 1884 roku i spichlerz z 1888 roku w Ludwinie</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Cerkiew prawosławna p.w. św. Mikołaja w Dratowie</w:t>
      </w:r>
    </w:p>
    <w:p w:rsidR="00DC75FA" w:rsidRDefault="00887D84">
      <w:pPr>
        <w:pStyle w:val="Default"/>
        <w:numPr>
          <w:ilvl w:val="0"/>
          <w:numId w:val="45"/>
        </w:numPr>
        <w:spacing w:line="276" w:lineRule="auto"/>
        <w:ind w:left="426" w:hanging="426"/>
        <w:jc w:val="both"/>
        <w:rPr>
          <w:rFonts w:ascii="Times New Roman" w:hAnsi="Times New Roman" w:cs="Times New Roman"/>
          <w:sz w:val="22"/>
          <w:szCs w:val="22"/>
        </w:rPr>
      </w:pPr>
      <w:r>
        <w:rPr>
          <w:rFonts w:ascii="Times New Roman" w:hAnsi="Times New Roman" w:cs="Times New Roman"/>
          <w:sz w:val="22"/>
          <w:szCs w:val="22"/>
        </w:rPr>
        <w:t>Gmina Milejów:</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Dwór w Milejowie z 1903 r.,</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Kapliczka św. Jana Nepomucena,</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Cukrownia w Milejowie z 1907 r.,</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Kościół p.w. Wniebowzięcia Najświętszej Marii Panny w Milejowie</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Kościół p.w. św. Jana Chrzciciela w </w:t>
      </w:r>
      <w:proofErr w:type="spellStart"/>
      <w:r>
        <w:rPr>
          <w:rFonts w:ascii="Times New Roman" w:eastAsiaTheme="minorHAnsi" w:hAnsi="Times New Roman" w:cs="Times New Roman"/>
          <w:color w:val="auto"/>
          <w:sz w:val="22"/>
          <w:szCs w:val="22"/>
        </w:rPr>
        <w:t>Łańcuchowie</w:t>
      </w:r>
      <w:proofErr w:type="spellEnd"/>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Krzyż Niepodległościowy w Milejowie</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Cmentarz w Milejowie,</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Dwór murowany z 1903-1904 roku w </w:t>
      </w:r>
      <w:proofErr w:type="spellStart"/>
      <w:r>
        <w:rPr>
          <w:rFonts w:ascii="Times New Roman" w:eastAsiaTheme="minorHAnsi" w:hAnsi="Times New Roman" w:cs="Times New Roman"/>
          <w:color w:val="auto"/>
          <w:sz w:val="22"/>
          <w:szCs w:val="22"/>
        </w:rPr>
        <w:t>Łańcuchowie</w:t>
      </w:r>
      <w:proofErr w:type="spellEnd"/>
      <w:r>
        <w:rPr>
          <w:rFonts w:ascii="Times New Roman" w:eastAsiaTheme="minorHAnsi" w:hAnsi="Times New Roman" w:cs="Times New Roman"/>
          <w:color w:val="auto"/>
          <w:sz w:val="22"/>
          <w:szCs w:val="22"/>
        </w:rPr>
        <w:t> </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Kurhan w </w:t>
      </w:r>
      <w:proofErr w:type="spellStart"/>
      <w:r>
        <w:rPr>
          <w:rFonts w:ascii="Times New Roman" w:eastAsiaTheme="minorHAnsi" w:hAnsi="Times New Roman" w:cs="Times New Roman"/>
          <w:color w:val="auto"/>
          <w:sz w:val="22"/>
          <w:szCs w:val="22"/>
        </w:rPr>
        <w:t>Łańcuchowie</w:t>
      </w:r>
      <w:proofErr w:type="spellEnd"/>
      <w:r>
        <w:rPr>
          <w:rFonts w:ascii="Times New Roman" w:eastAsiaTheme="minorHAnsi" w:hAnsi="Times New Roman" w:cs="Times New Roman"/>
          <w:color w:val="auto"/>
          <w:sz w:val="22"/>
          <w:szCs w:val="22"/>
        </w:rPr>
        <w:t>,</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Dwór w </w:t>
      </w:r>
      <w:proofErr w:type="spellStart"/>
      <w:r>
        <w:rPr>
          <w:rFonts w:ascii="Times New Roman" w:eastAsiaTheme="minorHAnsi" w:hAnsi="Times New Roman" w:cs="Times New Roman"/>
          <w:color w:val="auto"/>
          <w:sz w:val="22"/>
          <w:szCs w:val="22"/>
        </w:rPr>
        <w:t>Jaszczowie</w:t>
      </w:r>
      <w:proofErr w:type="spellEnd"/>
      <w:r>
        <w:rPr>
          <w:rFonts w:ascii="Times New Roman" w:eastAsiaTheme="minorHAnsi" w:hAnsi="Times New Roman" w:cs="Times New Roman"/>
          <w:color w:val="auto"/>
          <w:sz w:val="22"/>
          <w:szCs w:val="22"/>
        </w:rPr>
        <w:t>,</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Szpital w </w:t>
      </w:r>
      <w:proofErr w:type="spellStart"/>
      <w:r>
        <w:rPr>
          <w:rFonts w:ascii="Times New Roman" w:eastAsiaTheme="minorHAnsi" w:hAnsi="Times New Roman" w:cs="Times New Roman"/>
          <w:color w:val="auto"/>
          <w:sz w:val="22"/>
          <w:szCs w:val="22"/>
        </w:rPr>
        <w:t>Jaszczowie</w:t>
      </w:r>
      <w:proofErr w:type="spellEnd"/>
      <w:r>
        <w:rPr>
          <w:rFonts w:ascii="Times New Roman" w:eastAsiaTheme="minorHAnsi" w:hAnsi="Times New Roman" w:cs="Times New Roman"/>
          <w:color w:val="auto"/>
          <w:sz w:val="22"/>
          <w:szCs w:val="22"/>
        </w:rPr>
        <w:t>,</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Kapliczka w </w:t>
      </w:r>
      <w:proofErr w:type="spellStart"/>
      <w:r>
        <w:rPr>
          <w:rFonts w:ascii="Times New Roman" w:eastAsiaTheme="minorHAnsi" w:hAnsi="Times New Roman" w:cs="Times New Roman"/>
          <w:color w:val="auto"/>
          <w:sz w:val="22"/>
          <w:szCs w:val="22"/>
        </w:rPr>
        <w:t>Jaszczowie</w:t>
      </w:r>
      <w:proofErr w:type="spellEnd"/>
      <w:r>
        <w:rPr>
          <w:rFonts w:ascii="Times New Roman" w:eastAsiaTheme="minorHAnsi" w:hAnsi="Times New Roman" w:cs="Times New Roman"/>
          <w:color w:val="auto"/>
          <w:sz w:val="22"/>
          <w:szCs w:val="22"/>
        </w:rPr>
        <w:t>,</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Dwór w Łysołajach,</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Cmentarz wojenny w Łysołajach,</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Cmentarz wojenny w Maryniowie,</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Pomnik w Kol. Ostrówek,</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Mogiła partyzantów w Majdanie </w:t>
      </w:r>
      <w:proofErr w:type="spellStart"/>
      <w:r>
        <w:rPr>
          <w:rFonts w:ascii="Times New Roman" w:eastAsiaTheme="minorHAnsi" w:hAnsi="Times New Roman" w:cs="Times New Roman"/>
          <w:color w:val="auto"/>
          <w:sz w:val="22"/>
          <w:szCs w:val="22"/>
        </w:rPr>
        <w:t>Siostrzytowskim</w:t>
      </w:r>
      <w:proofErr w:type="spellEnd"/>
      <w:r>
        <w:rPr>
          <w:rFonts w:ascii="Times New Roman" w:eastAsiaTheme="minorHAnsi" w:hAnsi="Times New Roman" w:cs="Times New Roman"/>
          <w:color w:val="auto"/>
          <w:sz w:val="22"/>
          <w:szCs w:val="22"/>
        </w:rPr>
        <w:t>,</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Cmentarz wojenny w Zalesiu,</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Kopiec w Klarowie;</w:t>
      </w:r>
    </w:p>
    <w:p w:rsidR="00DC75FA" w:rsidRDefault="00887D84">
      <w:pPr>
        <w:pStyle w:val="Default"/>
        <w:numPr>
          <w:ilvl w:val="0"/>
          <w:numId w:val="45"/>
        </w:numPr>
        <w:spacing w:line="276" w:lineRule="auto"/>
        <w:ind w:left="426" w:hanging="426"/>
        <w:jc w:val="both"/>
        <w:rPr>
          <w:rFonts w:ascii="Times New Roman" w:hAnsi="Times New Roman" w:cs="Times New Roman"/>
          <w:sz w:val="22"/>
          <w:szCs w:val="22"/>
        </w:rPr>
      </w:pPr>
      <w:r>
        <w:rPr>
          <w:rFonts w:ascii="Times New Roman" w:hAnsi="Times New Roman" w:cs="Times New Roman"/>
          <w:sz w:val="22"/>
          <w:szCs w:val="22"/>
        </w:rPr>
        <w:t>Gmina Puchaczów:</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Kościół p.w. Wniebowzięcia Najświętszej Marii Panny w Puchaczowie z 1778 r.</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Nowa murowana dzwonnica z 1854 r., wzniesiona na miejscu pierwotnej, drewnianej; </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Kaplica przy drodze do Nadrybia z 1533 r.; </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Barokowa figura w Rynku w Puchaczowie z XVIII w., </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 xml:space="preserve">Kapliczka murowana z końca XIX w. (najprawdopodobniej), ze starszą rzeźbą św. Jana Nepomucena znajdująca się przy ulicy Lubelskiej w Puchaczowie </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Kopiec w Ciechankach Łańcuchowskich</w:t>
      </w:r>
    </w:p>
    <w:p w:rsidR="00DC75FA" w:rsidRDefault="00887D84">
      <w:pPr>
        <w:pStyle w:val="Default"/>
        <w:numPr>
          <w:ilvl w:val="1"/>
          <w:numId w:val="45"/>
        </w:numPr>
        <w:spacing w:line="276" w:lineRule="auto"/>
        <w:ind w:left="851" w:hanging="426"/>
        <w:jc w:val="both"/>
        <w:rPr>
          <w:rFonts w:ascii="Times New Roman" w:eastAsiaTheme="minorHAnsi" w:hAnsi="Times New Roman" w:cs="Times New Roman"/>
          <w:color w:val="auto"/>
          <w:sz w:val="22"/>
          <w:szCs w:val="22"/>
        </w:rPr>
      </w:pPr>
      <w:r>
        <w:rPr>
          <w:rFonts w:ascii="Times New Roman" w:eastAsiaTheme="minorHAnsi" w:hAnsi="Times New Roman" w:cs="Times New Roman"/>
          <w:color w:val="auto"/>
          <w:sz w:val="22"/>
          <w:szCs w:val="22"/>
        </w:rPr>
        <w:t>Mogiła partyzantów w Ostrówku</w:t>
      </w:r>
    </w:p>
    <w:p w:rsidR="00DC75FA" w:rsidRDefault="00887D84">
      <w:pPr>
        <w:pStyle w:val="Default"/>
        <w:numPr>
          <w:ilvl w:val="0"/>
          <w:numId w:val="45"/>
        </w:numPr>
        <w:spacing w:line="276" w:lineRule="auto"/>
        <w:ind w:left="426" w:hanging="426"/>
        <w:jc w:val="both"/>
        <w:rPr>
          <w:rFonts w:ascii="Times New Roman" w:hAnsi="Times New Roman" w:cs="Times New Roman"/>
          <w:sz w:val="22"/>
          <w:szCs w:val="22"/>
        </w:rPr>
      </w:pPr>
      <w:r>
        <w:rPr>
          <w:rFonts w:ascii="Times New Roman" w:hAnsi="Times New Roman" w:cs="Times New Roman"/>
          <w:sz w:val="22"/>
          <w:szCs w:val="22"/>
        </w:rPr>
        <w:t>Gmina Urszulin:</w:t>
      </w:r>
    </w:p>
    <w:p w:rsidR="00DC75FA" w:rsidRDefault="00887D84">
      <w:pPr>
        <w:pStyle w:val="Default"/>
        <w:numPr>
          <w:ilvl w:val="1"/>
          <w:numId w:val="45"/>
        </w:numPr>
        <w:spacing w:line="276" w:lineRule="auto"/>
        <w:ind w:left="851" w:hanging="425"/>
        <w:jc w:val="both"/>
        <w:rPr>
          <w:rFonts w:ascii="Times New Roman" w:hAnsi="Times New Roman" w:cs="Times New Roman"/>
          <w:sz w:val="22"/>
          <w:szCs w:val="22"/>
        </w:rPr>
      </w:pPr>
      <w:r>
        <w:rPr>
          <w:rFonts w:ascii="Times New Roman" w:hAnsi="Times New Roman" w:cs="Times New Roman"/>
          <w:sz w:val="22"/>
          <w:szCs w:val="22"/>
        </w:rPr>
        <w:t>Kościół Chrystusa Miłosiernego w Urszulinie,</w:t>
      </w:r>
    </w:p>
    <w:p w:rsidR="00DC75FA" w:rsidRDefault="00887D84">
      <w:pPr>
        <w:pStyle w:val="Default"/>
        <w:numPr>
          <w:ilvl w:val="1"/>
          <w:numId w:val="45"/>
        </w:numPr>
        <w:spacing w:line="276" w:lineRule="auto"/>
        <w:ind w:left="851" w:hanging="425"/>
        <w:jc w:val="both"/>
        <w:rPr>
          <w:rFonts w:ascii="Times New Roman" w:hAnsi="Times New Roman" w:cs="Times New Roman"/>
          <w:sz w:val="22"/>
          <w:szCs w:val="22"/>
        </w:rPr>
      </w:pPr>
      <w:r>
        <w:rPr>
          <w:rFonts w:ascii="Times New Roman" w:hAnsi="Times New Roman" w:cs="Times New Roman"/>
          <w:sz w:val="22"/>
          <w:szCs w:val="22"/>
        </w:rPr>
        <w:t>Pomnik zamordowanych Żydów Urszulińskich,</w:t>
      </w:r>
    </w:p>
    <w:p w:rsidR="00DC75FA" w:rsidRDefault="00887D84">
      <w:pPr>
        <w:pStyle w:val="Default"/>
        <w:numPr>
          <w:ilvl w:val="1"/>
          <w:numId w:val="45"/>
        </w:numPr>
        <w:spacing w:line="276" w:lineRule="auto"/>
        <w:ind w:left="851" w:hanging="425"/>
        <w:jc w:val="both"/>
        <w:rPr>
          <w:rFonts w:ascii="Times New Roman" w:hAnsi="Times New Roman" w:cs="Times New Roman"/>
          <w:sz w:val="22"/>
          <w:szCs w:val="22"/>
        </w:rPr>
      </w:pPr>
      <w:r>
        <w:rPr>
          <w:rFonts w:ascii="Times New Roman" w:hAnsi="Times New Roman" w:cs="Times New Roman"/>
          <w:sz w:val="22"/>
          <w:szCs w:val="22"/>
        </w:rPr>
        <w:t>Pomnik zamordowanych mieszkańców Urszulina,</w:t>
      </w:r>
    </w:p>
    <w:p w:rsidR="00DC75FA" w:rsidRDefault="00887D84">
      <w:pPr>
        <w:pStyle w:val="Default"/>
        <w:numPr>
          <w:ilvl w:val="1"/>
          <w:numId w:val="45"/>
        </w:numPr>
        <w:spacing w:line="276" w:lineRule="auto"/>
        <w:ind w:left="851" w:hanging="425"/>
        <w:jc w:val="both"/>
        <w:rPr>
          <w:rFonts w:ascii="Times New Roman" w:hAnsi="Times New Roman" w:cs="Times New Roman"/>
          <w:sz w:val="22"/>
          <w:szCs w:val="22"/>
        </w:rPr>
      </w:pPr>
      <w:r>
        <w:rPr>
          <w:rFonts w:ascii="Times New Roman" w:hAnsi="Times New Roman" w:cs="Times New Roman"/>
          <w:sz w:val="22"/>
          <w:szCs w:val="22"/>
        </w:rPr>
        <w:t>Kapliczka z 1905 r. w Urszulinie.</w:t>
      </w:r>
    </w:p>
    <w:p w:rsidR="00DC75FA" w:rsidRDefault="00DC75FA">
      <w:pPr>
        <w:pStyle w:val="Default"/>
        <w:spacing w:line="276" w:lineRule="auto"/>
        <w:ind w:firstLine="567"/>
        <w:jc w:val="both"/>
        <w:rPr>
          <w:rFonts w:asciiTheme="majorHAnsi" w:hAnsiTheme="majorHAnsi" w:cstheme="majorHAnsi"/>
          <w:sz w:val="22"/>
          <w:szCs w:val="22"/>
        </w:rPr>
      </w:pPr>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159" w:name="_Toc116896684"/>
      <w:r>
        <w:rPr>
          <w:rFonts w:ascii="Times New Roman" w:hAnsi="Times New Roman" w:cs="Times New Roman"/>
          <w:b/>
          <w:color w:val="5B9BD5" w:themeColor="accent1"/>
          <w:sz w:val="24"/>
          <w:szCs w:val="24"/>
        </w:rPr>
        <w:lastRenderedPageBreak/>
        <w:t>Kultura, sport i organizacja czasu wolnego</w:t>
      </w:r>
      <w:bookmarkEnd w:id="159"/>
    </w:p>
    <w:p w:rsidR="00DC75FA" w:rsidRDefault="00887D84">
      <w:pPr>
        <w:spacing w:after="0"/>
        <w:ind w:firstLine="567"/>
        <w:jc w:val="both"/>
        <w:rPr>
          <w:rFonts w:ascii="Times New Roman" w:hAnsi="Times New Roman" w:cs="Times New Roman"/>
        </w:rPr>
      </w:pPr>
      <w:r>
        <w:rPr>
          <w:rFonts w:ascii="Times New Roman" w:hAnsi="Times New Roman" w:cs="Times New Roman"/>
        </w:rPr>
        <w:t xml:space="preserve">Rola kultury w tworzeniu tożsamości regionu jest niepowtarzalna. Stanowi ona dorobek przeszłych pokoleń, uzupełniony współczesną twórczą działalnością. Życie kulturalne na terenie OF tworzą następujące domy i ośrodki kultury: </w:t>
      </w:r>
    </w:p>
    <w:p w:rsidR="00DC75FA" w:rsidRDefault="00887D84">
      <w:pPr>
        <w:pStyle w:val="Akapitzlist"/>
        <w:spacing w:after="120" w:line="276" w:lineRule="auto"/>
        <w:jc w:val="both"/>
        <w:rPr>
          <w:rFonts w:ascii="Times New Roman" w:hAnsi="Times New Roman" w:cs="Times New Roman"/>
        </w:rPr>
      </w:pPr>
      <w:r>
        <w:rPr>
          <w:rFonts w:ascii="Times New Roman" w:hAnsi="Times New Roman" w:cs="Times New Roman"/>
        </w:rPr>
        <w:t>Gminny Dom Kultury w Cycowie,</w:t>
      </w:r>
    </w:p>
    <w:p w:rsidR="00DC75FA" w:rsidRDefault="00887D84">
      <w:pPr>
        <w:pStyle w:val="Akapitzlist"/>
        <w:spacing w:after="120" w:line="276" w:lineRule="auto"/>
        <w:jc w:val="both"/>
        <w:rPr>
          <w:rFonts w:ascii="Times New Roman" w:hAnsi="Times New Roman" w:cs="Times New Roman"/>
        </w:rPr>
      </w:pPr>
      <w:r>
        <w:rPr>
          <w:rFonts w:ascii="Times New Roman" w:hAnsi="Times New Roman" w:cs="Times New Roman"/>
        </w:rPr>
        <w:t>Gminne Centrum Kultury i Sportu w Ludwinie,</w:t>
      </w:r>
    </w:p>
    <w:p w:rsidR="00DC75FA" w:rsidRDefault="00887D84">
      <w:pPr>
        <w:pStyle w:val="Akapitzlist"/>
        <w:spacing w:after="120" w:line="276" w:lineRule="auto"/>
        <w:jc w:val="both"/>
        <w:rPr>
          <w:rFonts w:ascii="Times New Roman" w:hAnsi="Times New Roman" w:cs="Times New Roman"/>
        </w:rPr>
      </w:pPr>
      <w:r>
        <w:rPr>
          <w:rFonts w:ascii="Times New Roman" w:hAnsi="Times New Roman" w:cs="Times New Roman"/>
        </w:rPr>
        <w:t>Gminny Ośrodek Kultury w Milejowie,</w:t>
      </w:r>
    </w:p>
    <w:p w:rsidR="00DC75FA" w:rsidRDefault="00887D84">
      <w:pPr>
        <w:pStyle w:val="Akapitzlist"/>
        <w:spacing w:after="120" w:line="276" w:lineRule="auto"/>
        <w:jc w:val="both"/>
        <w:rPr>
          <w:rFonts w:ascii="Times New Roman" w:hAnsi="Times New Roman" w:cs="Times New Roman"/>
        </w:rPr>
      </w:pPr>
      <w:r>
        <w:rPr>
          <w:rFonts w:ascii="Times New Roman" w:hAnsi="Times New Roman" w:cs="Times New Roman"/>
        </w:rPr>
        <w:t>Gminny Ośrodek Kultury w Puchaczowie,</w:t>
      </w:r>
    </w:p>
    <w:p w:rsidR="00DC75FA" w:rsidRDefault="00887D84">
      <w:pPr>
        <w:spacing w:after="0"/>
        <w:ind w:firstLine="567"/>
        <w:jc w:val="both"/>
        <w:rPr>
          <w:rFonts w:ascii="Times New Roman" w:hAnsi="Times New Roman" w:cs="Times New Roman"/>
        </w:rPr>
      </w:pPr>
      <w:r>
        <w:rPr>
          <w:rFonts w:ascii="Times New Roman" w:hAnsi="Times New Roman" w:cs="Times New Roman"/>
        </w:rPr>
        <w:t>Instytucjami, które także odpowiadają za rozwój kultury są biblioteki publiczne. Na terenie OF prowadzi działalność 5 bibliotek i 8 filii:</w:t>
      </w:r>
    </w:p>
    <w:p w:rsidR="00DC75FA" w:rsidRDefault="00887D84">
      <w:pPr>
        <w:pStyle w:val="Akapitzlist"/>
        <w:spacing w:after="240" w:line="276" w:lineRule="auto"/>
        <w:jc w:val="both"/>
        <w:rPr>
          <w:rFonts w:ascii="Times New Roman" w:hAnsi="Times New Roman" w:cs="Times New Roman"/>
        </w:rPr>
      </w:pPr>
      <w:r>
        <w:rPr>
          <w:rFonts w:ascii="Times New Roman" w:hAnsi="Times New Roman" w:cs="Times New Roman"/>
        </w:rPr>
        <w:t>Gminna Biblioteka Publiczna w Cycowie oraz jej filie w Ludwinowie i Malinówce,</w:t>
      </w:r>
    </w:p>
    <w:p w:rsidR="00DC75FA" w:rsidRDefault="00887D84">
      <w:pPr>
        <w:pStyle w:val="Akapitzlist"/>
        <w:spacing w:after="240" w:line="276" w:lineRule="auto"/>
        <w:jc w:val="both"/>
        <w:rPr>
          <w:rFonts w:ascii="Times New Roman" w:hAnsi="Times New Roman" w:cs="Times New Roman"/>
        </w:rPr>
      </w:pPr>
      <w:r>
        <w:rPr>
          <w:rFonts w:ascii="Times New Roman" w:hAnsi="Times New Roman" w:cs="Times New Roman"/>
        </w:rPr>
        <w:t>Gminna Biblioteka Publiczna w Ludwinie oraz filie w Piasecznie i Zezulinie,</w:t>
      </w:r>
    </w:p>
    <w:p w:rsidR="00DC75FA" w:rsidRDefault="00887D84">
      <w:pPr>
        <w:pStyle w:val="Akapitzlist"/>
        <w:spacing w:after="240" w:line="276" w:lineRule="auto"/>
        <w:jc w:val="both"/>
        <w:rPr>
          <w:rFonts w:ascii="Times New Roman" w:hAnsi="Times New Roman" w:cs="Times New Roman"/>
        </w:rPr>
      </w:pPr>
      <w:r>
        <w:rPr>
          <w:rFonts w:ascii="Times New Roman" w:hAnsi="Times New Roman" w:cs="Times New Roman"/>
        </w:rPr>
        <w:t xml:space="preserve">Gminna Biblioteka Publiczna w Milejowie oraz jej filie w Łysołajach i </w:t>
      </w:r>
      <w:proofErr w:type="spellStart"/>
      <w:r>
        <w:rPr>
          <w:rFonts w:ascii="Times New Roman" w:hAnsi="Times New Roman" w:cs="Times New Roman"/>
        </w:rPr>
        <w:t>Łańcuchowie</w:t>
      </w:r>
      <w:proofErr w:type="spellEnd"/>
      <w:r>
        <w:rPr>
          <w:rFonts w:ascii="Times New Roman" w:hAnsi="Times New Roman" w:cs="Times New Roman"/>
        </w:rPr>
        <w:t>,</w:t>
      </w:r>
    </w:p>
    <w:p w:rsidR="00DC75FA" w:rsidRDefault="00887D84">
      <w:pPr>
        <w:pStyle w:val="Akapitzlist"/>
        <w:spacing w:after="240" w:line="276" w:lineRule="auto"/>
        <w:jc w:val="both"/>
        <w:rPr>
          <w:rFonts w:ascii="Times New Roman" w:hAnsi="Times New Roman" w:cs="Times New Roman"/>
        </w:rPr>
      </w:pPr>
      <w:r>
        <w:rPr>
          <w:rFonts w:ascii="Times New Roman" w:hAnsi="Times New Roman" w:cs="Times New Roman"/>
        </w:rPr>
        <w:t>Gminna Biblioteka Publiczna w Puchaczowie oraz jej filia w Ciechankach,</w:t>
      </w:r>
    </w:p>
    <w:p w:rsidR="00DC75FA" w:rsidRDefault="00887D84">
      <w:pPr>
        <w:pStyle w:val="Akapitzlist"/>
        <w:spacing w:after="240" w:line="276" w:lineRule="auto"/>
        <w:jc w:val="both"/>
        <w:rPr>
          <w:rFonts w:ascii="Times New Roman" w:hAnsi="Times New Roman" w:cs="Times New Roman"/>
        </w:rPr>
      </w:pPr>
      <w:r>
        <w:rPr>
          <w:rFonts w:ascii="Times New Roman" w:hAnsi="Times New Roman" w:cs="Times New Roman"/>
        </w:rPr>
        <w:t>Gminna Biblioteka Publiczna w Urszulinie oraz jej filia w Wytycznie.</w:t>
      </w:r>
    </w:p>
    <w:p w:rsidR="00DC75FA" w:rsidRDefault="00887D84">
      <w:pPr>
        <w:spacing w:after="240"/>
        <w:ind w:firstLine="567"/>
        <w:jc w:val="both"/>
        <w:rPr>
          <w:rFonts w:ascii="Times New Roman" w:hAnsi="Times New Roman" w:cs="Times New Roman"/>
        </w:rPr>
      </w:pPr>
      <w:r>
        <w:rPr>
          <w:rFonts w:ascii="Times New Roman" w:hAnsi="Times New Roman" w:cs="Times New Roman"/>
        </w:rPr>
        <w:t xml:space="preserve">W analizowanym okresie księgozbiór zgromadzony w bibliotekach na terenie OF systematycznie się zwiększał – w 2019 r. jego wolumin wyniósł 96 657, przy łącznej liczbie </w:t>
      </w:r>
      <w:proofErr w:type="spellStart"/>
      <w:r>
        <w:rPr>
          <w:rFonts w:ascii="Times New Roman" w:hAnsi="Times New Roman" w:cs="Times New Roman"/>
        </w:rPr>
        <w:t>wypożyczeń</w:t>
      </w:r>
      <w:proofErr w:type="spellEnd"/>
      <w:r>
        <w:rPr>
          <w:rFonts w:ascii="Times New Roman" w:hAnsi="Times New Roman" w:cs="Times New Roman"/>
        </w:rPr>
        <w:t xml:space="preserve"> na zewnątrz równej 104 587. W ciągu roku biblioteki funkcjonujące na terenie OF gromadziły średnio 6,4 tys. czytelników.</w:t>
      </w:r>
    </w:p>
    <w:p w:rsidR="00DC75FA" w:rsidRDefault="00887D84">
      <w:pPr>
        <w:pStyle w:val="aaapodpis"/>
      </w:pPr>
      <w:bookmarkStart w:id="160" w:name="_Toc75899519"/>
      <w:r>
        <w:t xml:space="preserve">Wykres </w:t>
      </w:r>
      <w:r>
        <w:fldChar w:fldCharType="begin"/>
      </w:r>
      <w:r>
        <w:instrText>SEQ Wykres \* ARABIC</w:instrText>
      </w:r>
      <w:r>
        <w:fldChar w:fldCharType="separate"/>
      </w:r>
      <w:r>
        <w:t>25</w:t>
      </w:r>
      <w:r>
        <w:fldChar w:fldCharType="end"/>
      </w:r>
      <w:r>
        <w:t>4: Działalność bibliotek na obszarze OF w latach 2015-2019</w:t>
      </w:r>
      <w:bookmarkEnd w:id="160"/>
    </w:p>
    <w:p w:rsidR="00DC75FA" w:rsidRDefault="00887D84">
      <w:pPr>
        <w:pStyle w:val="aaardo"/>
      </w:pPr>
      <w:r>
        <w:rPr>
          <w:noProof/>
          <w:lang w:eastAsia="pl-PL"/>
        </w:rPr>
        <w:drawing>
          <wp:inline distT="0" distB="0" distL="0" distR="0">
            <wp:extent cx="6120130" cy="2743200"/>
            <wp:effectExtent l="0" t="0" r="0" b="0"/>
            <wp:docPr id="103" name="Wykres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 xml:space="preserve">Największą liczbą czytelników cechowały się biblioteki w Gminie Milejów oraz Gminie Cyców – w 2019 r. stanowiły niemal 53% ogólnej liczby czytelników na terenie OF. Najmniej czytelników zgromadziła Gmina Urszulin. W bibliotekach z Gmin Milejów oraz Puchaczów zgromadzono największy księgozbiór, najmniejszy dostępny jest w bibliotece w Gminie Urszulin. W bibliotece w Gminie Milejów wypożyczenia na zewnątrz stanowią 37% wszystkich </w:t>
      </w:r>
      <w:proofErr w:type="spellStart"/>
      <w:r>
        <w:rPr>
          <w:rFonts w:ascii="Times New Roman" w:hAnsi="Times New Roman" w:cs="Times New Roman"/>
        </w:rPr>
        <w:t>wypożyczeń</w:t>
      </w:r>
      <w:proofErr w:type="spellEnd"/>
      <w:r>
        <w:rPr>
          <w:rFonts w:ascii="Times New Roman" w:hAnsi="Times New Roman" w:cs="Times New Roman"/>
        </w:rPr>
        <w:t xml:space="preserve"> w obszarze funkcjonalnym, jednocześnie razem z Gminą Ludwin są gminami, w których spadła liczba </w:t>
      </w:r>
      <w:proofErr w:type="spellStart"/>
      <w:r>
        <w:rPr>
          <w:rFonts w:ascii="Times New Roman" w:hAnsi="Times New Roman" w:cs="Times New Roman"/>
        </w:rPr>
        <w:t>wypożyczeń</w:t>
      </w:r>
      <w:proofErr w:type="spellEnd"/>
      <w:r>
        <w:rPr>
          <w:rFonts w:ascii="Times New Roman" w:hAnsi="Times New Roman" w:cs="Times New Roman"/>
        </w:rPr>
        <w:t xml:space="preserve"> na zewnątrz w porównaniu do 2015 r.</w:t>
      </w:r>
    </w:p>
    <w:p w:rsidR="00DC75FA" w:rsidRDefault="00DC75FA">
      <w:pPr>
        <w:ind w:firstLine="567"/>
        <w:rPr>
          <w:highlight w:val="yellow"/>
        </w:rPr>
      </w:pPr>
    </w:p>
    <w:p w:rsidR="00DC75FA" w:rsidRDefault="00887D84">
      <w:pPr>
        <w:pStyle w:val="aaapodpis"/>
        <w:spacing w:line="276" w:lineRule="auto"/>
      </w:pPr>
      <w:bookmarkStart w:id="161" w:name="_Toc75899520"/>
      <w:r>
        <w:lastRenderedPageBreak/>
        <w:t>Wykres 55: Liczba czytelników w ciągu roku w bibliotekach zlokalizowanych w poszczególnych JST OF w latach 2015-2019</w:t>
      </w:r>
      <w:bookmarkEnd w:id="161"/>
    </w:p>
    <w:p w:rsidR="00DC75FA" w:rsidRDefault="00887D84">
      <w:pPr>
        <w:pStyle w:val="aaardo"/>
      </w:pPr>
      <w:r>
        <w:rPr>
          <w:noProof/>
          <w:lang w:eastAsia="pl-PL"/>
        </w:rPr>
        <w:drawing>
          <wp:inline distT="0" distB="0" distL="0" distR="0">
            <wp:extent cx="6119495" cy="1979930"/>
            <wp:effectExtent l="0" t="0" r="0" b="0"/>
            <wp:docPr id="104" name="Wykres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pStyle w:val="aaapodpis"/>
        <w:spacing w:line="276" w:lineRule="auto"/>
      </w:pPr>
      <w:bookmarkStart w:id="162" w:name="_Toc75899521"/>
      <w:r>
        <w:t xml:space="preserve">Wykres </w:t>
      </w:r>
      <w:r>
        <w:fldChar w:fldCharType="begin"/>
      </w:r>
      <w:r>
        <w:instrText>SEQ Wykres \* ARABIC</w:instrText>
      </w:r>
      <w:r>
        <w:fldChar w:fldCharType="separate"/>
      </w:r>
      <w:r>
        <w:t>26</w:t>
      </w:r>
      <w:r>
        <w:fldChar w:fldCharType="end"/>
      </w:r>
      <w:r>
        <w:t>: Księgozbiór bibliotek zlokalizowanych w poszczególnych JST OF w latach 2015-2019</w:t>
      </w:r>
      <w:bookmarkEnd w:id="162"/>
    </w:p>
    <w:p w:rsidR="00DC75FA" w:rsidRDefault="00887D84">
      <w:pPr>
        <w:pStyle w:val="aaardo"/>
      </w:pPr>
      <w:r>
        <w:rPr>
          <w:noProof/>
          <w:lang w:eastAsia="pl-PL"/>
        </w:rPr>
        <w:drawing>
          <wp:inline distT="0" distB="0" distL="0" distR="0">
            <wp:extent cx="6120130" cy="1979930"/>
            <wp:effectExtent l="0" t="0" r="0" b="0"/>
            <wp:docPr id="105" name="Wykres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pStyle w:val="aaapodpis"/>
        <w:spacing w:line="276" w:lineRule="auto"/>
      </w:pPr>
      <w:bookmarkStart w:id="163" w:name="_Toc75899522"/>
      <w:r>
        <w:t xml:space="preserve">Wykres </w:t>
      </w:r>
      <w:r>
        <w:fldChar w:fldCharType="begin"/>
      </w:r>
      <w:r>
        <w:instrText>SEQ Wykres \* ARABIC</w:instrText>
      </w:r>
      <w:r>
        <w:fldChar w:fldCharType="separate"/>
      </w:r>
      <w:r>
        <w:t>27</w:t>
      </w:r>
      <w:r>
        <w:fldChar w:fldCharType="end"/>
      </w:r>
      <w:r>
        <w:t xml:space="preserve">: Liczba </w:t>
      </w:r>
      <w:proofErr w:type="spellStart"/>
      <w:r>
        <w:t>wypożyczeń</w:t>
      </w:r>
      <w:proofErr w:type="spellEnd"/>
      <w:r>
        <w:t xml:space="preserve"> na zewnątrz księgozbioru w bibliotekach zlokalizowanych w poszczególnych JST OF w latach 2015-2019</w:t>
      </w:r>
      <w:bookmarkEnd w:id="163"/>
    </w:p>
    <w:p w:rsidR="00DC75FA" w:rsidRDefault="00887D84">
      <w:pPr>
        <w:pStyle w:val="aaardo"/>
      </w:pPr>
      <w:r>
        <w:rPr>
          <w:noProof/>
          <w:lang w:eastAsia="pl-PL"/>
        </w:rPr>
        <w:drawing>
          <wp:inline distT="0" distB="0" distL="0" distR="0">
            <wp:extent cx="6119495" cy="1979930"/>
            <wp:effectExtent l="0" t="0" r="0" b="0"/>
            <wp:docPr id="106" name="Wykres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t xml:space="preserve"> </w:t>
      </w:r>
    </w:p>
    <w:p w:rsidR="00DC75FA" w:rsidRDefault="00887D84">
      <w:pPr>
        <w:pStyle w:val="aaardo"/>
      </w:pPr>
      <w:r>
        <w:t>Źródło: opracowanie własne na podstawie danych GUS – Bank Danych Lokalnych.</w:t>
      </w:r>
    </w:p>
    <w:p w:rsidR="00DC75FA" w:rsidRDefault="00887D84">
      <w:pPr>
        <w:rPr>
          <w:rFonts w:ascii="Times New Roman" w:hAnsi="Times New Roman" w:cs="Times New Roman"/>
          <w:highlight w:val="yellow"/>
        </w:rPr>
      </w:pPr>
      <w:r>
        <w:br w:type="page"/>
      </w:r>
    </w:p>
    <w:p w:rsidR="00DC75FA" w:rsidRDefault="00887D84">
      <w:pPr>
        <w:pStyle w:val="Bezodstpw"/>
        <w:numPr>
          <w:ilvl w:val="1"/>
          <w:numId w:val="25"/>
        </w:numPr>
        <w:spacing w:after="240" w:line="276" w:lineRule="auto"/>
        <w:ind w:left="788" w:hanging="431"/>
        <w:jc w:val="both"/>
        <w:outlineLvl w:val="2"/>
        <w:rPr>
          <w:rFonts w:ascii="Times New Roman" w:hAnsi="Times New Roman" w:cs="Times New Roman"/>
          <w:b/>
          <w:color w:val="5B9BD5" w:themeColor="accent1"/>
          <w:sz w:val="24"/>
          <w:szCs w:val="24"/>
        </w:rPr>
      </w:pPr>
      <w:bookmarkStart w:id="164" w:name="_Toc116896685"/>
      <w:bookmarkStart w:id="165" w:name="_Toc105754715"/>
      <w:r>
        <w:rPr>
          <w:rFonts w:ascii="Times New Roman" w:hAnsi="Times New Roman" w:cs="Times New Roman"/>
          <w:b/>
          <w:color w:val="5B9BD5" w:themeColor="accent1"/>
          <w:sz w:val="24"/>
          <w:szCs w:val="24"/>
        </w:rPr>
        <w:lastRenderedPageBreak/>
        <w:t>JAKOŚĆ ŻYCIA</w:t>
      </w:r>
      <w:bookmarkEnd w:id="164"/>
      <w:bookmarkEnd w:id="165"/>
    </w:p>
    <w:p w:rsidR="00DC75FA" w:rsidRDefault="00887D84">
      <w:pPr>
        <w:pStyle w:val="Bezodstpw"/>
        <w:numPr>
          <w:ilvl w:val="2"/>
          <w:numId w:val="25"/>
        </w:numPr>
        <w:spacing w:after="240" w:line="276" w:lineRule="auto"/>
        <w:ind w:left="1225" w:hanging="505"/>
        <w:jc w:val="both"/>
        <w:outlineLvl w:val="3"/>
        <w:rPr>
          <w:rFonts w:ascii="Times New Roman" w:hAnsi="Times New Roman" w:cs="Times New Roman"/>
          <w:b/>
          <w:color w:val="5B9BD5" w:themeColor="accent1"/>
          <w:sz w:val="24"/>
          <w:szCs w:val="24"/>
        </w:rPr>
      </w:pPr>
      <w:bookmarkStart w:id="166" w:name="_Toc116896686"/>
      <w:r>
        <w:rPr>
          <w:rFonts w:ascii="Times New Roman" w:hAnsi="Times New Roman" w:cs="Times New Roman"/>
          <w:b/>
          <w:color w:val="5B9BD5" w:themeColor="accent1"/>
          <w:sz w:val="24"/>
          <w:szCs w:val="24"/>
        </w:rPr>
        <w:t>Środowisko naturalne</w:t>
      </w:r>
      <w:bookmarkEnd w:id="166"/>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Obszar Funkcjonalny według regionalizacji Kondrackiego położony jest na obszarze </w:t>
      </w:r>
      <w:proofErr w:type="spellStart"/>
      <w:r>
        <w:rPr>
          <w:rFonts w:ascii="Times New Roman" w:hAnsi="Times New Roman" w:cs="Times New Roman"/>
          <w:sz w:val="22"/>
          <w:szCs w:val="22"/>
        </w:rPr>
        <w:t>Megaregionu</w:t>
      </w:r>
      <w:proofErr w:type="spellEnd"/>
      <w:r>
        <w:rPr>
          <w:rFonts w:ascii="Times New Roman" w:hAnsi="Times New Roman" w:cs="Times New Roman"/>
          <w:sz w:val="22"/>
          <w:szCs w:val="22"/>
        </w:rPr>
        <w:t xml:space="preserve"> Niż Wschodnioeuropejski, Prowincji Niż </w:t>
      </w:r>
      <w:proofErr w:type="spellStart"/>
      <w:r>
        <w:rPr>
          <w:rFonts w:ascii="Times New Roman" w:hAnsi="Times New Roman" w:cs="Times New Roman"/>
          <w:sz w:val="22"/>
          <w:szCs w:val="22"/>
        </w:rPr>
        <w:t>Wschodniobałtycko</w:t>
      </w:r>
      <w:proofErr w:type="spellEnd"/>
      <w:r>
        <w:rPr>
          <w:rFonts w:ascii="Times New Roman" w:hAnsi="Times New Roman" w:cs="Times New Roman"/>
          <w:sz w:val="22"/>
          <w:szCs w:val="22"/>
        </w:rPr>
        <w:t xml:space="preserve">-Białoruski, </w:t>
      </w:r>
      <w:proofErr w:type="spellStart"/>
      <w:r>
        <w:rPr>
          <w:rFonts w:ascii="Times New Roman" w:hAnsi="Times New Roman" w:cs="Times New Roman"/>
          <w:sz w:val="22"/>
          <w:szCs w:val="22"/>
        </w:rPr>
        <w:t>Podprowincji</w:t>
      </w:r>
      <w:proofErr w:type="spellEnd"/>
      <w:r>
        <w:rPr>
          <w:rFonts w:ascii="Times New Roman" w:hAnsi="Times New Roman" w:cs="Times New Roman"/>
          <w:sz w:val="22"/>
          <w:szCs w:val="22"/>
        </w:rPr>
        <w:t xml:space="preserve"> Polesie, w Makroregionie Polesie Zachodnie i Polesie Wołyńskie, w </w:t>
      </w:r>
      <w:proofErr w:type="spellStart"/>
      <w:r>
        <w:rPr>
          <w:rFonts w:ascii="Times New Roman" w:hAnsi="Times New Roman" w:cs="Times New Roman"/>
          <w:sz w:val="22"/>
          <w:szCs w:val="22"/>
        </w:rPr>
        <w:t>Mezoregionie</w:t>
      </w:r>
      <w:proofErr w:type="spellEnd"/>
      <w:r>
        <w:rPr>
          <w:rFonts w:ascii="Times New Roman" w:hAnsi="Times New Roman" w:cs="Times New Roman"/>
          <w:sz w:val="22"/>
          <w:szCs w:val="22"/>
        </w:rPr>
        <w:t xml:space="preserve"> Równiny Łęczyńsko-Włodawskiej  (teren Gminy Urszulin, Gminy Ludwin, Gminy Puchaczów) oraz Obniżenia </w:t>
      </w:r>
      <w:proofErr w:type="spellStart"/>
      <w:r>
        <w:rPr>
          <w:rFonts w:ascii="Times New Roman" w:hAnsi="Times New Roman" w:cs="Times New Roman"/>
          <w:sz w:val="22"/>
          <w:szCs w:val="22"/>
        </w:rPr>
        <w:t>Dorohuckiego</w:t>
      </w:r>
      <w:proofErr w:type="spellEnd"/>
      <w:r>
        <w:rPr>
          <w:rFonts w:ascii="Times New Roman" w:hAnsi="Times New Roman" w:cs="Times New Roman"/>
          <w:sz w:val="22"/>
          <w:szCs w:val="22"/>
        </w:rPr>
        <w:t xml:space="preserve"> (teren Gminy Puchaczów, Gminy Cyców, Gminy Milejów). </w:t>
      </w:r>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Równina Łęczyńsko-Włodawska rozciąga się na powierzchni około 1315 km</w:t>
      </w:r>
      <w:r>
        <w:rPr>
          <w:rFonts w:ascii="Times New Roman" w:hAnsi="Times New Roman" w:cs="Times New Roman"/>
          <w:sz w:val="22"/>
          <w:szCs w:val="22"/>
          <w:vertAlign w:val="superscript"/>
        </w:rPr>
        <w:t>2</w:t>
      </w:r>
      <w:r>
        <w:rPr>
          <w:rFonts w:ascii="Times New Roman" w:hAnsi="Times New Roman" w:cs="Times New Roman"/>
          <w:sz w:val="22"/>
          <w:szCs w:val="22"/>
        </w:rPr>
        <w:t>, stanowi największy w Polsce zespół łąkowy, obejmuje liczne bagna, torfowiska i jeziora krasowe oraz naturalne kompleksy leśne z bogactwem flory i fauny. Jeziora pochodzenia krasowego zajmują ponad 27 km</w:t>
      </w:r>
      <w:r>
        <w:rPr>
          <w:rFonts w:ascii="Times New Roman" w:hAnsi="Times New Roman" w:cs="Times New Roman"/>
          <w:sz w:val="22"/>
          <w:szCs w:val="22"/>
          <w:vertAlign w:val="superscript"/>
        </w:rPr>
        <w:t>2</w:t>
      </w:r>
      <w:r>
        <w:rPr>
          <w:rFonts w:ascii="Times New Roman" w:hAnsi="Times New Roman" w:cs="Times New Roman"/>
          <w:sz w:val="22"/>
          <w:szCs w:val="22"/>
        </w:rPr>
        <w:t xml:space="preserve"> powierzchni. Wzdłuż zachodnich granic Równiny Łęczyńsko-Włodawskiej ciągnie się pas skał karbońskich z węglem kamiennym. Północną jej krawędź stanowi Garb Włodawski, będący podłużnym wałem moreny czołowej zlodowacenia środkowopolskiego, a południową tworzą wzniesienia Pagórów Chełmskich. Teren ten zalicza się do Okręgu Pojezierza Łęczyńsko-Włodawskiego, Krainy Polesia Południowego, Działu Mazowiecko-Poleskiego</w:t>
      </w:r>
      <w:r>
        <w:rPr>
          <w:rStyle w:val="Zakotwiczenieprzypisudolnego"/>
          <w:rFonts w:ascii="Times New Roman" w:hAnsi="Times New Roman" w:cs="Times New Roman"/>
          <w:sz w:val="22"/>
          <w:szCs w:val="22"/>
        </w:rPr>
        <w:footnoteReference w:id="5"/>
      </w:r>
      <w:r>
        <w:rPr>
          <w:rFonts w:ascii="Times New Roman" w:hAnsi="Times New Roman" w:cs="Times New Roman"/>
          <w:sz w:val="22"/>
          <w:szCs w:val="22"/>
        </w:rPr>
        <w:t xml:space="preserve">. Gatunkiem występującym na obszarze jest sosna, brzoza i olcha. Największe powierzchnie zajmują tu siedliska boru świeżego i boru mieszanego świeżego. </w:t>
      </w:r>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Najstarszymi skałami na tym terenie są dewońskie piaskowce, wapienie rafowe i dolomity dolnego dewonu. Skały te występują szczególnie w bliskiej odległości Jeziora </w:t>
      </w:r>
      <w:proofErr w:type="spellStart"/>
      <w:r>
        <w:rPr>
          <w:rFonts w:ascii="Times New Roman" w:hAnsi="Times New Roman" w:cs="Times New Roman"/>
          <w:sz w:val="22"/>
          <w:szCs w:val="22"/>
        </w:rPr>
        <w:t>Wytyckiego</w:t>
      </w:r>
      <w:proofErr w:type="spellEnd"/>
      <w:r>
        <w:rPr>
          <w:rFonts w:ascii="Times New Roman" w:hAnsi="Times New Roman" w:cs="Times New Roman"/>
          <w:sz w:val="22"/>
          <w:szCs w:val="22"/>
        </w:rPr>
        <w:t xml:space="preserve">, na głębokości 1 202 m, i w okolicach miejscowości Zienki, na głębokości 1 341 m. Kompleks paleozoiczny tworzą utwory o zróżnicowanej litologii i genezie, do których w szczególności należą osady morskie. Często występującymi skałami są utwory karbonu, wykształcone w facji wapiennej, marglistej, piaskowcowej bądź </w:t>
      </w:r>
      <w:proofErr w:type="spellStart"/>
      <w:r>
        <w:rPr>
          <w:rFonts w:ascii="Times New Roman" w:hAnsi="Times New Roman" w:cs="Times New Roman"/>
          <w:sz w:val="22"/>
          <w:szCs w:val="22"/>
        </w:rPr>
        <w:t>mułowcowo-iłowcowej</w:t>
      </w:r>
      <w:proofErr w:type="spellEnd"/>
      <w:r>
        <w:rPr>
          <w:rFonts w:ascii="Times New Roman" w:hAnsi="Times New Roman" w:cs="Times New Roman"/>
          <w:sz w:val="22"/>
          <w:szCs w:val="22"/>
        </w:rPr>
        <w:t xml:space="preserve"> z pokładami węgla kamiennego. Najstarszymi utworami pokrywowymi na tym obszarze są skały </w:t>
      </w:r>
      <w:proofErr w:type="spellStart"/>
      <w:r>
        <w:rPr>
          <w:rFonts w:ascii="Times New Roman" w:hAnsi="Times New Roman" w:cs="Times New Roman"/>
          <w:sz w:val="22"/>
          <w:szCs w:val="22"/>
        </w:rPr>
        <w:t>górnokredowe</w:t>
      </w:r>
      <w:proofErr w:type="spellEnd"/>
      <w:r>
        <w:rPr>
          <w:rFonts w:ascii="Times New Roman" w:hAnsi="Times New Roman" w:cs="Times New Roman"/>
          <w:sz w:val="22"/>
          <w:szCs w:val="22"/>
        </w:rPr>
        <w:t>, najczęściej wykształcone jako margle i kreda pisząca</w:t>
      </w:r>
      <w:r>
        <w:rPr>
          <w:rStyle w:val="Zakotwiczenieprzypisudolnego"/>
          <w:rFonts w:ascii="Times New Roman" w:hAnsi="Times New Roman" w:cs="Times New Roman"/>
          <w:sz w:val="22"/>
          <w:szCs w:val="22"/>
        </w:rPr>
        <w:footnoteReference w:id="6"/>
      </w:r>
      <w:r>
        <w:rPr>
          <w:rFonts w:ascii="Times New Roman" w:hAnsi="Times New Roman" w:cs="Times New Roman"/>
          <w:sz w:val="22"/>
          <w:szCs w:val="22"/>
        </w:rPr>
        <w:t xml:space="preserve">. </w:t>
      </w:r>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Obszar Funkcjonalny rozciąga się na wysokości od 169 m n.p.m. do 171 m n.p.m. Obszar ten jest terenem równinnym z ponadprzeciętnymi walorami wizualnymi krajobrazu. </w:t>
      </w:r>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Na terenie OF przeważają głównie gleby </w:t>
      </w:r>
      <w:proofErr w:type="spellStart"/>
      <w:r>
        <w:rPr>
          <w:rFonts w:ascii="Times New Roman" w:hAnsi="Times New Roman" w:cs="Times New Roman"/>
          <w:sz w:val="22"/>
          <w:szCs w:val="22"/>
        </w:rPr>
        <w:t>średniourodzajne</w:t>
      </w:r>
      <w:proofErr w:type="spellEnd"/>
      <w:r>
        <w:rPr>
          <w:rFonts w:ascii="Times New Roman" w:hAnsi="Times New Roman" w:cs="Times New Roman"/>
          <w:sz w:val="22"/>
          <w:szCs w:val="22"/>
        </w:rPr>
        <w:t xml:space="preserve">. Różnorodność podłoża skalnego i czynniki glebotwórcze wytworzyły bogatą skalę gleb. Zdecydowanie przeważają skały typu kredy piszącej, margli i marglowych. W wyniku procesów naturalnych na terenie OF powstały utwory lessowe wraz z glebami bielicowymi i brunatnymi. Gleby bielicowe o bardzo kwaśnym odczynie, mało zasobne w próchnicę oraz ubogie w potas i fosfor zajmują największą powierzchnię obszaru. Gleby te występują m.in. w Gminie Ludwin. Bardzo podobny charakter mają gleby </w:t>
      </w:r>
      <w:proofErr w:type="spellStart"/>
      <w:r>
        <w:rPr>
          <w:rFonts w:ascii="Times New Roman" w:hAnsi="Times New Roman" w:cs="Times New Roman"/>
          <w:sz w:val="22"/>
          <w:szCs w:val="22"/>
        </w:rPr>
        <w:t>brunatnoziemne</w:t>
      </w:r>
      <w:proofErr w:type="spellEnd"/>
      <w:r>
        <w:rPr>
          <w:rFonts w:ascii="Times New Roman" w:hAnsi="Times New Roman" w:cs="Times New Roman"/>
          <w:sz w:val="22"/>
          <w:szCs w:val="22"/>
        </w:rPr>
        <w:t>, które dodatkowo są ubogie w wapń i magnez. Dominują one w Gminie Cyców. W południowo-zachodniej części OF na bezleśnym płaskowyżu wykształciły się lessy, w niektórych miejscach na podłożu lessowym czarnoziemy, a na podłożu ze skał wapiennych rędziny (Gmina Milejów). Na terenach podmokłych występują gleby bagienne, a w dolinach rzek mady.</w:t>
      </w:r>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Znaczeniem dla Obszaru Funkcjonalnego jest występowanie tu złoża węgla kamiennego, który jest częścią lubelskiego basenu karbońskiego. Zasoby karbońskich pokładów węgla zalegających w części wielkiej osi strukturalnej niecki lwowsko-lubelskiej to powierzchnia około 14000 km</w:t>
      </w:r>
      <w:r>
        <w:rPr>
          <w:rFonts w:ascii="Times New Roman" w:hAnsi="Times New Roman" w:cs="Times New Roman"/>
          <w:sz w:val="22"/>
          <w:szCs w:val="22"/>
          <w:vertAlign w:val="superscript"/>
        </w:rPr>
        <w:t>2</w:t>
      </w:r>
      <w:r>
        <w:rPr>
          <w:rFonts w:ascii="Times New Roman" w:hAnsi="Times New Roman" w:cs="Times New Roman"/>
          <w:sz w:val="22"/>
          <w:szCs w:val="22"/>
        </w:rPr>
        <w:t>. W obrębie gmin: Puchaczów, Ludwin, Cyców znajduje się obszar górniczy kopalni węgla kamiennego Lubelski Węgiel „Bogdanka” S.A.</w:t>
      </w:r>
      <w:r>
        <w:rPr>
          <w:rFonts w:ascii="Times New Roman" w:eastAsiaTheme="minorHAnsi" w:hAnsi="Times New Roman" w:cs="Times New Roman"/>
          <w:color w:val="auto"/>
          <w:sz w:val="22"/>
          <w:szCs w:val="22"/>
        </w:rPr>
        <w:t xml:space="preserve"> </w:t>
      </w:r>
      <w:r>
        <w:rPr>
          <w:rFonts w:ascii="Times New Roman" w:hAnsi="Times New Roman" w:cs="Times New Roman"/>
          <w:sz w:val="22"/>
          <w:szCs w:val="22"/>
        </w:rPr>
        <w:t xml:space="preserve">Charakterystycznym elementem krajobrazu terenów górniczych są powstające hałdy tworzone z tzw. skały </w:t>
      </w:r>
      <w:proofErr w:type="spellStart"/>
      <w:r>
        <w:rPr>
          <w:rFonts w:ascii="Times New Roman" w:hAnsi="Times New Roman" w:cs="Times New Roman"/>
          <w:sz w:val="22"/>
          <w:szCs w:val="22"/>
        </w:rPr>
        <w:t>płonej</w:t>
      </w:r>
      <w:proofErr w:type="spellEnd"/>
      <w:r>
        <w:rPr>
          <w:rFonts w:ascii="Times New Roman" w:hAnsi="Times New Roman" w:cs="Times New Roman"/>
          <w:sz w:val="22"/>
          <w:szCs w:val="22"/>
        </w:rPr>
        <w:t xml:space="preserve">. Skała płona powstaje z odpadów przy wydobywaniu węgla. Składa się z kamieni, łupków mułowych oraz iłowców o naturalnej zawartości metali ciężkich i pierwiastków radioaktywnych. Doskonale nadaje się do rekultywacji terenów zdegradowanych, np. przez byłe kopalnie </w:t>
      </w:r>
      <w:r>
        <w:rPr>
          <w:rFonts w:ascii="Times New Roman" w:hAnsi="Times New Roman" w:cs="Times New Roman"/>
          <w:sz w:val="22"/>
          <w:szCs w:val="22"/>
        </w:rPr>
        <w:lastRenderedPageBreak/>
        <w:t>pisaku. Taki program rekultywacji dołów po kopalinach oraz restytucji pierwotnego krajobrazu został już wdrożony przez kopalnię w Bogdance.</w:t>
      </w:r>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Wśród innych surowców naturalnych występujących na terenie OF wymienić należy torfy, gliny i piaski. Pod względem wartości bonitacyjnej gruntów ornych w zdecydowanej większości gmin przeważają gleby średniej jakości (IV klasa). </w:t>
      </w:r>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Brak ingerencji człowieka stwarza duże możliwości dla powstających zbiorników wodnych w samoregulacji i </w:t>
      </w:r>
      <w:proofErr w:type="spellStart"/>
      <w:r>
        <w:rPr>
          <w:rFonts w:ascii="Times New Roman" w:hAnsi="Times New Roman" w:cs="Times New Roman"/>
          <w:sz w:val="22"/>
          <w:szCs w:val="22"/>
        </w:rPr>
        <w:t>samozagospodarowaniu</w:t>
      </w:r>
      <w:proofErr w:type="spellEnd"/>
      <w:r>
        <w:rPr>
          <w:rFonts w:ascii="Times New Roman" w:hAnsi="Times New Roman" w:cs="Times New Roman"/>
          <w:sz w:val="22"/>
          <w:szCs w:val="22"/>
        </w:rPr>
        <w:t>, dzięki czemu stanowią ostoję ptactwa wodnego. Są również atrakcją dla wędkujących turystów. Jednym z elementów przyrodniczych środowiska, który w największym stopniu decyduje o jakości życia człowieka są wody. Według podziału hydrogeologicznego kraju OF leży na obszarze 407 Niecki lubelskiej (Chełm-Zamość). Sieć rzeczna jest dobrze rozwinięta. Wszystkie akweny OF cechuje duże zróżnicowanie pod względem pochodzenia, żyzności, zarybienia i czystości wód. Największą rzeką przepływającą przez teren powiatu jest Wieprz. Jest to rzeka o wysokim stopniu naturalności z licznymi stromymi zboczami schodzącymi ku rozległym dolinom, meandrami (zakolami), starorzeczami często tak silnie zakrzaczonymi, że prawie nie dostępnymi. Cała sieć rzeczna związana jest ze zlewnią Wieprza. Podstawowymi dopływami w obrębie powiatu są: Świnka, Mogielnica, Białka, Stawek, Bystrzyca. Z północnej strony powiatu wpływa Tyśmienica. Obfitość wód powierzchniowych to także bogactwo i różnorodność ichtiofauny. Występuje tu ponad trzydzieści gatunków ryb, m.in. szczupak, karaś, płoć, okoń, brzana, certa, sielawa, leszcz, ukleja, różanka, ciernik, kleń, miętus. Do najrzadszych należy sum żyjący na dnie głębokich i mulastych dołów. Na obszarze tym w latach 1992-1996 zrealizowany został jeden z pierwszych programów w Polsce dotyczący denaturalizacji ekosystemów wodno-torfowiskowych. Doliny wymienionych rzek posiadają urokliwe krajobrazy z cennymi osobliwościami przyrodniczymi. Są naturalnymi „korytarzami ekologicznymi”, trasami migracji roślin i zwierząt, a także ostojami przyrody ożywionej. Dolinę Wieprza zalicza się do bardzo cennych przyrodniczo terenów w skali Polski, a także Europy.</w:t>
      </w:r>
    </w:p>
    <w:p w:rsidR="00DC75FA" w:rsidRDefault="00DC75FA">
      <w:pPr>
        <w:pStyle w:val="Default"/>
        <w:spacing w:line="276" w:lineRule="auto"/>
        <w:ind w:firstLine="567"/>
        <w:jc w:val="both"/>
        <w:rPr>
          <w:rFonts w:ascii="Times New Roman" w:hAnsi="Times New Roman" w:cs="Times New Roman"/>
          <w:sz w:val="20"/>
          <w:szCs w:val="22"/>
        </w:rPr>
      </w:pPr>
    </w:p>
    <w:p w:rsidR="00DC75FA" w:rsidRDefault="00887D84">
      <w:pPr>
        <w:pStyle w:val="Default"/>
        <w:spacing w:line="276" w:lineRule="auto"/>
        <w:jc w:val="both"/>
        <w:rPr>
          <w:rFonts w:ascii="Times New Roman" w:hAnsi="Times New Roman" w:cs="Times New Roman"/>
          <w:sz w:val="22"/>
        </w:rPr>
      </w:pPr>
      <w:r>
        <w:rPr>
          <w:rFonts w:ascii="Times New Roman" w:hAnsi="Times New Roman" w:cs="Times New Roman"/>
          <w:sz w:val="22"/>
        </w:rPr>
        <w:t>Dodatkowo na terenie OF występują następujące pomniki przyrody:</w:t>
      </w:r>
    </w:p>
    <w:p w:rsidR="00DC75FA" w:rsidRDefault="00887D84">
      <w:pPr>
        <w:pStyle w:val="Default"/>
        <w:numPr>
          <w:ilvl w:val="0"/>
          <w:numId w:val="51"/>
        </w:numPr>
        <w:spacing w:line="276" w:lineRule="auto"/>
        <w:ind w:left="426"/>
        <w:jc w:val="both"/>
        <w:rPr>
          <w:rFonts w:ascii="Times New Roman" w:hAnsi="Times New Roman" w:cs="Times New Roman"/>
          <w:sz w:val="22"/>
        </w:rPr>
      </w:pPr>
      <w:r>
        <w:rPr>
          <w:rFonts w:ascii="Times New Roman" w:hAnsi="Times New Roman" w:cs="Times New Roman"/>
          <w:sz w:val="22"/>
        </w:rPr>
        <w:t>Gmina Cyców:</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zbiorowisko roślin „Biesiadki” o powierzchni 16, 49 ha w Biesiadkach,</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topola biała – białodrzew o obwodzie 4,5 m, w parku w Garbatówce,</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lipa drobnolistna o obwodzie 3,2 m, w parku w Garbatówce,</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 xml:space="preserve">jesion wyniosły o obwodzie 2,65 m przy szosie w parku podworskim w </w:t>
      </w:r>
      <w:proofErr w:type="spellStart"/>
      <w:r>
        <w:rPr>
          <w:rFonts w:ascii="Times New Roman" w:hAnsi="Times New Roman" w:cs="Times New Roman"/>
          <w:sz w:val="22"/>
        </w:rPr>
        <w:t>Świeszczowie</w:t>
      </w:r>
      <w:proofErr w:type="spellEnd"/>
      <w:r>
        <w:rPr>
          <w:rFonts w:ascii="Times New Roman" w:hAnsi="Times New Roman" w:cs="Times New Roman"/>
          <w:sz w:val="22"/>
        </w:rPr>
        <w:t>,</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lipa drobnolistna o obwodzie 3,25 m, przy budynku dawnej szkoły w parku podworskim w </w:t>
      </w:r>
      <w:proofErr w:type="spellStart"/>
      <w:r>
        <w:rPr>
          <w:rFonts w:ascii="Times New Roman" w:hAnsi="Times New Roman" w:cs="Times New Roman"/>
          <w:sz w:val="22"/>
        </w:rPr>
        <w:t>Świeszczowie</w:t>
      </w:r>
      <w:proofErr w:type="spellEnd"/>
      <w:r>
        <w:rPr>
          <w:rFonts w:ascii="Times New Roman" w:hAnsi="Times New Roman" w:cs="Times New Roman"/>
          <w:sz w:val="22"/>
        </w:rPr>
        <w:t>,</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 xml:space="preserve">klon pospolity o obwodzie 2,55 m, j/w </w:t>
      </w:r>
      <w:proofErr w:type="spellStart"/>
      <w:r>
        <w:rPr>
          <w:rFonts w:ascii="Times New Roman" w:hAnsi="Times New Roman" w:cs="Times New Roman"/>
          <w:sz w:val="22"/>
        </w:rPr>
        <w:t>w</w:t>
      </w:r>
      <w:proofErr w:type="spellEnd"/>
      <w:r>
        <w:rPr>
          <w:rFonts w:ascii="Times New Roman" w:hAnsi="Times New Roman" w:cs="Times New Roman"/>
          <w:sz w:val="22"/>
        </w:rPr>
        <w:t xml:space="preserve"> </w:t>
      </w:r>
      <w:proofErr w:type="spellStart"/>
      <w:r>
        <w:rPr>
          <w:rFonts w:ascii="Times New Roman" w:hAnsi="Times New Roman" w:cs="Times New Roman"/>
          <w:sz w:val="22"/>
        </w:rPr>
        <w:t>Świeszczowie</w:t>
      </w:r>
      <w:proofErr w:type="spellEnd"/>
      <w:r>
        <w:rPr>
          <w:rFonts w:ascii="Times New Roman" w:hAnsi="Times New Roman" w:cs="Times New Roman"/>
          <w:sz w:val="22"/>
        </w:rPr>
        <w:t>,</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 xml:space="preserve">lipa drobnolistna o obwodzie 4,4 m, j/w </w:t>
      </w:r>
      <w:proofErr w:type="spellStart"/>
      <w:r>
        <w:rPr>
          <w:rFonts w:ascii="Times New Roman" w:hAnsi="Times New Roman" w:cs="Times New Roman"/>
          <w:sz w:val="22"/>
        </w:rPr>
        <w:t>w</w:t>
      </w:r>
      <w:proofErr w:type="spellEnd"/>
      <w:r>
        <w:rPr>
          <w:rFonts w:ascii="Times New Roman" w:hAnsi="Times New Roman" w:cs="Times New Roman"/>
          <w:sz w:val="22"/>
        </w:rPr>
        <w:t xml:space="preserve"> </w:t>
      </w:r>
      <w:proofErr w:type="spellStart"/>
      <w:r>
        <w:rPr>
          <w:rFonts w:ascii="Times New Roman" w:hAnsi="Times New Roman" w:cs="Times New Roman"/>
          <w:sz w:val="22"/>
        </w:rPr>
        <w:t>Świeszczowie</w:t>
      </w:r>
      <w:proofErr w:type="spellEnd"/>
      <w:r>
        <w:rPr>
          <w:rFonts w:ascii="Times New Roman" w:hAnsi="Times New Roman" w:cs="Times New Roman"/>
          <w:sz w:val="22"/>
        </w:rPr>
        <w:t>,</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 xml:space="preserve">dwa jesiony wyniosłe o obwodach 3,9 i 3,67 m, j/w </w:t>
      </w:r>
      <w:proofErr w:type="spellStart"/>
      <w:r>
        <w:rPr>
          <w:rFonts w:ascii="Times New Roman" w:hAnsi="Times New Roman" w:cs="Times New Roman"/>
          <w:sz w:val="22"/>
        </w:rPr>
        <w:t>w</w:t>
      </w:r>
      <w:proofErr w:type="spellEnd"/>
      <w:r>
        <w:rPr>
          <w:rFonts w:ascii="Times New Roman" w:hAnsi="Times New Roman" w:cs="Times New Roman"/>
          <w:sz w:val="22"/>
        </w:rPr>
        <w:t xml:space="preserve"> </w:t>
      </w:r>
      <w:proofErr w:type="spellStart"/>
      <w:r>
        <w:rPr>
          <w:rFonts w:ascii="Times New Roman" w:hAnsi="Times New Roman" w:cs="Times New Roman"/>
          <w:sz w:val="22"/>
        </w:rPr>
        <w:t>Świeszczowie</w:t>
      </w:r>
      <w:proofErr w:type="spellEnd"/>
      <w:r>
        <w:rPr>
          <w:rFonts w:ascii="Times New Roman" w:hAnsi="Times New Roman" w:cs="Times New Roman"/>
          <w:sz w:val="22"/>
        </w:rPr>
        <w:t>.</w:t>
      </w:r>
    </w:p>
    <w:p w:rsidR="00DC75FA" w:rsidRDefault="00887D84">
      <w:pPr>
        <w:pStyle w:val="Default"/>
        <w:numPr>
          <w:ilvl w:val="0"/>
          <w:numId w:val="51"/>
        </w:numPr>
        <w:spacing w:line="276" w:lineRule="auto"/>
        <w:ind w:left="426"/>
        <w:jc w:val="both"/>
        <w:rPr>
          <w:rFonts w:ascii="Times New Roman" w:hAnsi="Times New Roman" w:cs="Times New Roman"/>
          <w:sz w:val="22"/>
        </w:rPr>
      </w:pPr>
      <w:r>
        <w:rPr>
          <w:rFonts w:ascii="Times New Roman" w:hAnsi="Times New Roman" w:cs="Times New Roman"/>
          <w:sz w:val="22"/>
        </w:rPr>
        <w:t>Gmina Ludwin:</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zachowany zespół dworsko-parkowy z XIX w. z pięknym drzewostanem. Do drzew objętych ochroną prawną należą: orzech czarny, jałowiec wirginijski, lipa drobnolistna, metasekwoja chińska w Kaniwoli.</w:t>
      </w:r>
    </w:p>
    <w:p w:rsidR="00DC75FA" w:rsidRDefault="00887D84">
      <w:pPr>
        <w:pStyle w:val="Default"/>
        <w:numPr>
          <w:ilvl w:val="0"/>
          <w:numId w:val="51"/>
        </w:numPr>
        <w:spacing w:line="276" w:lineRule="auto"/>
        <w:ind w:left="426"/>
        <w:jc w:val="both"/>
        <w:rPr>
          <w:rFonts w:ascii="Times New Roman" w:hAnsi="Times New Roman" w:cs="Times New Roman"/>
          <w:sz w:val="22"/>
        </w:rPr>
      </w:pPr>
      <w:r>
        <w:rPr>
          <w:rFonts w:ascii="Times New Roman" w:hAnsi="Times New Roman" w:cs="Times New Roman"/>
          <w:sz w:val="22"/>
        </w:rPr>
        <w:t>Gmina Milejów:</w:t>
      </w:r>
    </w:p>
    <w:p w:rsidR="00DC75FA" w:rsidRDefault="00887D84">
      <w:pPr>
        <w:pStyle w:val="Default"/>
        <w:numPr>
          <w:ilvl w:val="0"/>
          <w:numId w:val="50"/>
        </w:numPr>
        <w:spacing w:line="276" w:lineRule="auto"/>
        <w:ind w:left="714" w:hanging="357"/>
        <w:jc w:val="both"/>
        <w:rPr>
          <w:rFonts w:ascii="Times New Roman" w:hAnsi="Times New Roman" w:cs="Times New Roman"/>
          <w:sz w:val="22"/>
        </w:rPr>
      </w:pPr>
      <w:r>
        <w:rPr>
          <w:rFonts w:ascii="Times New Roman" w:hAnsi="Times New Roman" w:cs="Times New Roman"/>
          <w:sz w:val="22"/>
        </w:rPr>
        <w:t>lipa drobnolistna o obwodzie 4,5 m w zabytkowym zespole dworsko – parkowym w Milejowie,</w:t>
      </w:r>
    </w:p>
    <w:p w:rsidR="00DC75FA" w:rsidRDefault="00887D84">
      <w:pPr>
        <w:pStyle w:val="Default"/>
        <w:numPr>
          <w:ilvl w:val="0"/>
          <w:numId w:val="50"/>
        </w:numPr>
        <w:spacing w:line="276" w:lineRule="auto"/>
        <w:ind w:left="714" w:hanging="357"/>
        <w:jc w:val="both"/>
        <w:rPr>
          <w:rFonts w:ascii="Times New Roman" w:hAnsi="Times New Roman" w:cs="Times New Roman"/>
          <w:sz w:val="22"/>
        </w:rPr>
      </w:pPr>
      <w:r>
        <w:rPr>
          <w:rFonts w:ascii="Times New Roman" w:hAnsi="Times New Roman" w:cs="Times New Roman"/>
          <w:sz w:val="22"/>
        </w:rPr>
        <w:t xml:space="preserve">buk pospolity, odmiana purpurowa o obwodzie 3,5 m (zabytkowy zespół dworsko – parkowy) w </w:t>
      </w:r>
      <w:proofErr w:type="spellStart"/>
      <w:r>
        <w:rPr>
          <w:rFonts w:ascii="Times New Roman" w:hAnsi="Times New Roman" w:cs="Times New Roman"/>
          <w:sz w:val="22"/>
        </w:rPr>
        <w:t>Łańcuchowie</w:t>
      </w:r>
      <w:proofErr w:type="spellEnd"/>
      <w:r>
        <w:rPr>
          <w:rFonts w:ascii="Times New Roman" w:hAnsi="Times New Roman" w:cs="Times New Roman"/>
          <w:sz w:val="22"/>
        </w:rPr>
        <w:t>,</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 xml:space="preserve">lipa drobnolistna o obwodzie 4,8 m w zabytkowym zespole dworsko – parkowym w </w:t>
      </w:r>
      <w:proofErr w:type="spellStart"/>
      <w:r>
        <w:rPr>
          <w:rFonts w:ascii="Times New Roman" w:hAnsi="Times New Roman" w:cs="Times New Roman"/>
          <w:sz w:val="22"/>
        </w:rPr>
        <w:t>Łańcuchowie</w:t>
      </w:r>
      <w:proofErr w:type="spellEnd"/>
      <w:r>
        <w:rPr>
          <w:rFonts w:ascii="Times New Roman" w:hAnsi="Times New Roman" w:cs="Times New Roman"/>
          <w:sz w:val="22"/>
        </w:rPr>
        <w:t>,</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 xml:space="preserve">lipa drobnolistna o obwodzie 4,68 m, resztki prywatnego parku – własność Heleny i Zdzisława Podgórskich w </w:t>
      </w:r>
      <w:proofErr w:type="spellStart"/>
      <w:r>
        <w:rPr>
          <w:rFonts w:ascii="Times New Roman" w:hAnsi="Times New Roman" w:cs="Times New Roman"/>
          <w:sz w:val="22"/>
        </w:rPr>
        <w:t>Jaszczowie</w:t>
      </w:r>
      <w:proofErr w:type="spellEnd"/>
      <w:r>
        <w:rPr>
          <w:rFonts w:ascii="Times New Roman" w:hAnsi="Times New Roman" w:cs="Times New Roman"/>
          <w:sz w:val="22"/>
        </w:rPr>
        <w:t>,</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 xml:space="preserve">modrzew europejski o obwodzie 2,92 m, resztki prywatnego parku – własność Heleny i Zdzisława Podgórskich w </w:t>
      </w:r>
      <w:proofErr w:type="spellStart"/>
      <w:r>
        <w:rPr>
          <w:rFonts w:ascii="Times New Roman" w:hAnsi="Times New Roman" w:cs="Times New Roman"/>
          <w:sz w:val="22"/>
        </w:rPr>
        <w:t>Jaszczowie</w:t>
      </w:r>
      <w:proofErr w:type="spellEnd"/>
      <w:r>
        <w:rPr>
          <w:rFonts w:ascii="Times New Roman" w:hAnsi="Times New Roman" w:cs="Times New Roman"/>
          <w:sz w:val="22"/>
        </w:rPr>
        <w:t>,</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lastRenderedPageBreak/>
        <w:t>lipa srebrzysta o obwodzie 4,4 m, przy drodze Łęczna – Biskupice, obok kapliczki w </w:t>
      </w:r>
      <w:proofErr w:type="spellStart"/>
      <w:r>
        <w:rPr>
          <w:rFonts w:ascii="Times New Roman" w:hAnsi="Times New Roman" w:cs="Times New Roman"/>
          <w:sz w:val="22"/>
        </w:rPr>
        <w:t>Jaszczowie</w:t>
      </w:r>
      <w:proofErr w:type="spellEnd"/>
      <w:r>
        <w:rPr>
          <w:rFonts w:ascii="Times New Roman" w:hAnsi="Times New Roman" w:cs="Times New Roman"/>
          <w:sz w:val="22"/>
        </w:rPr>
        <w:t>,</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dąb szypułkowy o obwodzie 3,03 m, w zabytkowym zespole dworsko – parkowym w </w:t>
      </w:r>
      <w:proofErr w:type="spellStart"/>
      <w:r>
        <w:rPr>
          <w:rFonts w:ascii="Times New Roman" w:hAnsi="Times New Roman" w:cs="Times New Roman"/>
          <w:sz w:val="22"/>
        </w:rPr>
        <w:t>Jaszczowie</w:t>
      </w:r>
      <w:proofErr w:type="spellEnd"/>
      <w:r>
        <w:rPr>
          <w:rFonts w:ascii="Times New Roman" w:hAnsi="Times New Roman" w:cs="Times New Roman"/>
          <w:sz w:val="22"/>
        </w:rPr>
        <w:t>,</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 xml:space="preserve">platan </w:t>
      </w:r>
      <w:proofErr w:type="spellStart"/>
      <w:r>
        <w:rPr>
          <w:rFonts w:ascii="Times New Roman" w:hAnsi="Times New Roman" w:cs="Times New Roman"/>
          <w:sz w:val="22"/>
        </w:rPr>
        <w:t>klonolistny</w:t>
      </w:r>
      <w:proofErr w:type="spellEnd"/>
      <w:r>
        <w:rPr>
          <w:rFonts w:ascii="Times New Roman" w:hAnsi="Times New Roman" w:cs="Times New Roman"/>
          <w:sz w:val="22"/>
        </w:rPr>
        <w:t xml:space="preserve"> o obwodzie 3,2 m, w zabytkowym zespole dworsko – parkowym w Łysołajach,</w:t>
      </w:r>
    </w:p>
    <w:p w:rsidR="00DC75FA" w:rsidRDefault="00887D84">
      <w:pPr>
        <w:pStyle w:val="Default"/>
        <w:numPr>
          <w:ilvl w:val="0"/>
          <w:numId w:val="51"/>
        </w:numPr>
        <w:spacing w:line="276" w:lineRule="auto"/>
        <w:ind w:left="426"/>
        <w:jc w:val="both"/>
        <w:rPr>
          <w:rFonts w:ascii="Times New Roman" w:hAnsi="Times New Roman" w:cs="Times New Roman"/>
          <w:sz w:val="22"/>
        </w:rPr>
      </w:pPr>
      <w:r>
        <w:rPr>
          <w:rFonts w:ascii="Times New Roman" w:hAnsi="Times New Roman" w:cs="Times New Roman"/>
          <w:sz w:val="22"/>
        </w:rPr>
        <w:t>Gmina Puchaczów:</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wiąz szypułkowy rośnie w szpicy,</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aleja lipowa – z przełomu XIX w. wiodąca do byłego dworu P.P. Bogdanowiczów (koło Kościoła) jest pozostałością zespołu dworsko – parkowego.</w:t>
      </w:r>
    </w:p>
    <w:p w:rsidR="00DC75FA" w:rsidRDefault="00887D84">
      <w:pPr>
        <w:pStyle w:val="Default"/>
        <w:numPr>
          <w:ilvl w:val="0"/>
          <w:numId w:val="51"/>
        </w:numPr>
        <w:spacing w:line="276" w:lineRule="auto"/>
        <w:ind w:left="426"/>
        <w:jc w:val="both"/>
        <w:rPr>
          <w:rFonts w:ascii="Times New Roman" w:hAnsi="Times New Roman" w:cs="Times New Roman"/>
          <w:sz w:val="22"/>
        </w:rPr>
      </w:pPr>
      <w:r>
        <w:rPr>
          <w:rFonts w:ascii="Times New Roman" w:hAnsi="Times New Roman" w:cs="Times New Roman"/>
          <w:sz w:val="22"/>
        </w:rPr>
        <w:t>Gmina Urszulin</w:t>
      </w:r>
    </w:p>
    <w:p w:rsidR="00DC75FA" w:rsidRDefault="00887D84">
      <w:pPr>
        <w:pStyle w:val="Default"/>
        <w:numPr>
          <w:ilvl w:val="0"/>
          <w:numId w:val="50"/>
        </w:numPr>
        <w:spacing w:line="276" w:lineRule="auto"/>
        <w:jc w:val="both"/>
        <w:rPr>
          <w:rFonts w:ascii="Times New Roman" w:hAnsi="Times New Roman" w:cs="Times New Roman"/>
          <w:sz w:val="22"/>
        </w:rPr>
      </w:pPr>
      <w:r>
        <w:rPr>
          <w:rFonts w:ascii="Times New Roman" w:hAnsi="Times New Roman" w:cs="Times New Roman"/>
          <w:sz w:val="22"/>
        </w:rPr>
        <w:t>„Dąb Sobieskiego” w Urszulinie.</w:t>
      </w:r>
    </w:p>
    <w:p w:rsidR="00DC75FA" w:rsidRDefault="00DC75FA">
      <w:pPr>
        <w:pStyle w:val="Default"/>
        <w:spacing w:line="276" w:lineRule="auto"/>
        <w:ind w:firstLine="567"/>
        <w:jc w:val="both"/>
        <w:rPr>
          <w:rFonts w:ascii="Times New Roman" w:hAnsi="Times New Roman" w:cs="Times New Roman"/>
          <w:sz w:val="22"/>
          <w:szCs w:val="22"/>
        </w:rPr>
      </w:pPr>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Istotnym elementem kształtującym florę i faunę jest klimat o charakterze przejściowym. OF leży bowiem w strefie okresowej przewagi wpływu mas powietrza </w:t>
      </w:r>
      <w:proofErr w:type="spellStart"/>
      <w:r>
        <w:rPr>
          <w:rFonts w:ascii="Times New Roman" w:hAnsi="Times New Roman" w:cs="Times New Roman"/>
          <w:sz w:val="22"/>
          <w:szCs w:val="22"/>
        </w:rPr>
        <w:t>polarno</w:t>
      </w:r>
      <w:proofErr w:type="spellEnd"/>
      <w:r>
        <w:rPr>
          <w:rFonts w:ascii="Times New Roman" w:hAnsi="Times New Roman" w:cs="Times New Roman"/>
          <w:sz w:val="22"/>
          <w:szCs w:val="22"/>
        </w:rPr>
        <w:t xml:space="preserve"> – morskiego oraz częściowo kontynentalnego. Przeważają słabe wiatry. Niewielkie różnice klimatu na tym obszarze są następstwem małych deniwelacji terenu. Małe jest także zróżnicowanie przestrzenne opadów atmosferycznych, których roczne sumy rzadko przekraczają 550 mm.</w:t>
      </w:r>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 xml:space="preserve">Część opadów spada w postaci śniegu. Pokrywa śnieżna utrzymuje się od końca listopada do pierwszej dekady marca. Średnie roczne temperatury powietrza wynoszą około 7,3°C i są typowe dla stosunków termicznych w Polsce. Najwyższe temperatury występują w lipcu, a najniższe w styczniu. Stosunkowo wysoka średnia temperatura lata i bardzo niska zimy sprawia, że roczna amplituda temperatury należy do stosunkowo wysokich w odniesieniu do średniej krajowej. Zarówno duża amplituda temperatury, jak i długość trwania pór roku (lata i zimy) cechuje klimat kontynentalny. Najpogodniejszą porą roku, sprzyjającą rekreacji i turystyce jest lato, natomiast wiosna odznacza się mniejszym zachmurzeniem niż jesień. </w:t>
      </w:r>
    </w:p>
    <w:p w:rsidR="00DC75FA" w:rsidRDefault="00887D84">
      <w:pPr>
        <w:pStyle w:val="Default"/>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Procesom powstawania rozlewisk i zabagniania sprzyja zdecydowanie płaska powierzchnia terenu utrudniająca spływ powierzchniowy. Na obszarach stale podmokłych występują trzęsawiska i bagna. Trzęsawiska powstały w wyniku zarastania zbiorników wodnych – głównie starzejących się jezior, których powierzchnie całkowicie pokryła roślinność, bądź wytworzyła pas okalający otwartą powierzchnię wodną. Bagna zaś zajmują tereny podmokłe, sezonowo zalewane przez wody powierzchniowe. Porastają one najczęściej zbiorowiska zaroślowe bądź zespoły wielkich turzyc. Szczególnie urokliwe są kępiaste zespoły turzycy sztywnej. Jednakże największe znaczenie na Pojezierzu mają zbiorniki z wodą stojącą – jeziora i stawy. W przeważającej większości są to zdecydowanie jeziora małe o kolistym lub owalnym kształcie.</w:t>
      </w:r>
    </w:p>
    <w:p w:rsidR="00DC75FA" w:rsidRDefault="00DC75FA">
      <w:pPr>
        <w:pStyle w:val="Default"/>
        <w:spacing w:line="276" w:lineRule="auto"/>
        <w:ind w:firstLine="567"/>
        <w:jc w:val="both"/>
        <w:rPr>
          <w:rFonts w:asciiTheme="majorHAnsi" w:hAnsiTheme="majorHAnsi" w:cstheme="majorHAnsi"/>
          <w:sz w:val="22"/>
          <w:szCs w:val="22"/>
        </w:rPr>
      </w:pPr>
    </w:p>
    <w:p w:rsidR="00DC75FA" w:rsidRDefault="00887D84">
      <w:pPr>
        <w:pStyle w:val="aaapodpis"/>
      </w:pPr>
      <w:bookmarkStart w:id="167" w:name="_Toc75899295"/>
      <w:r>
        <w:t xml:space="preserve">Tabela </w:t>
      </w:r>
      <w:r>
        <w:fldChar w:fldCharType="begin"/>
      </w:r>
      <w:r>
        <w:instrText>SEQ Tabela \* ARABIC</w:instrText>
      </w:r>
      <w:r>
        <w:fldChar w:fldCharType="separate"/>
      </w:r>
      <w:r>
        <w:t>12</w:t>
      </w:r>
      <w:r>
        <w:fldChar w:fldCharType="end"/>
      </w:r>
      <w:r>
        <w:t xml:space="preserve"> Wybrane jeziora i torfowiska z obszaru współpracy ponadlokalnej Zielone Zagłębie</w:t>
      </w:r>
      <w:bookmarkEnd w:id="167"/>
    </w:p>
    <w:tbl>
      <w:tblPr>
        <w:tblW w:w="9209" w:type="dxa"/>
        <w:tblCellMar>
          <w:left w:w="70" w:type="dxa"/>
          <w:right w:w="70" w:type="dxa"/>
        </w:tblCellMar>
        <w:tblLook w:val="04A0" w:firstRow="1" w:lastRow="0" w:firstColumn="1" w:lastColumn="0" w:noHBand="0" w:noVBand="1"/>
      </w:tblPr>
      <w:tblGrid>
        <w:gridCol w:w="2830"/>
        <w:gridCol w:w="1931"/>
        <w:gridCol w:w="2379"/>
        <w:gridCol w:w="2069"/>
      </w:tblGrid>
      <w:tr w:rsidR="00DC75FA">
        <w:trPr>
          <w:trHeight w:val="300"/>
        </w:trPr>
        <w:tc>
          <w:tcPr>
            <w:tcW w:w="28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Nazwa jeziora</w:t>
            </w:r>
          </w:p>
        </w:tc>
        <w:tc>
          <w:tcPr>
            <w:tcW w:w="1931" w:type="dxa"/>
            <w:tcBorders>
              <w:top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Gmina</w:t>
            </w:r>
          </w:p>
        </w:tc>
        <w:tc>
          <w:tcPr>
            <w:tcW w:w="2379" w:type="dxa"/>
            <w:tcBorders>
              <w:top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Powierzchnia</w:t>
            </w:r>
          </w:p>
        </w:tc>
        <w:tc>
          <w:tcPr>
            <w:tcW w:w="2069" w:type="dxa"/>
            <w:tcBorders>
              <w:top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b/>
                <w:bCs/>
                <w:color w:val="000000"/>
                <w:lang w:eastAsia="pl-PL"/>
              </w:rPr>
            </w:pPr>
            <w:r>
              <w:rPr>
                <w:rFonts w:ascii="Times New Roman" w:eastAsia="Times New Roman" w:hAnsi="Times New Roman" w:cs="Times New Roman"/>
                <w:b/>
                <w:bCs/>
                <w:color w:val="000000"/>
                <w:lang w:eastAsia="pl-PL"/>
              </w:rPr>
              <w:t>Głębokość</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Rogóźno</w:t>
            </w:r>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57,1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25,4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Łukcze</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56,5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8,9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Zagłębocze</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59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Piaseczno</w:t>
            </w:r>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84,7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38,8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Dratów (Łokietek)</w:t>
            </w:r>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107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Bikcze</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Krzczeń</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174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Brzeziczno</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Ludwin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97,78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A47575">
            <w:pPr>
              <w:spacing w:after="0" w:line="240" w:lineRule="auto"/>
              <w:jc w:val="center"/>
              <w:rPr>
                <w:rFonts w:ascii="Times New Roman" w:eastAsia="Times New Roman" w:hAnsi="Times New Roman" w:cs="Times New Roman"/>
                <w:color w:val="000000"/>
                <w:lang w:eastAsia="pl-PL"/>
              </w:rPr>
            </w:pPr>
            <w:hyperlink r:id="rId130">
              <w:r w:rsidR="00887D84">
                <w:rPr>
                  <w:rFonts w:ascii="Times New Roman" w:eastAsia="Times New Roman" w:hAnsi="Times New Roman" w:cs="Times New Roman"/>
                  <w:color w:val="000000"/>
                  <w:lang w:eastAsia="pl-PL"/>
                </w:rPr>
                <w:t>Sumin</w:t>
              </w:r>
            </w:hyperlink>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91,5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A47575">
            <w:pPr>
              <w:spacing w:after="0" w:line="240" w:lineRule="auto"/>
              <w:jc w:val="center"/>
              <w:rPr>
                <w:rFonts w:ascii="Times New Roman" w:eastAsia="Times New Roman" w:hAnsi="Times New Roman" w:cs="Times New Roman"/>
                <w:color w:val="000000"/>
                <w:lang w:eastAsia="pl-PL"/>
              </w:rPr>
            </w:pPr>
            <w:hyperlink r:id="rId131">
              <w:proofErr w:type="spellStart"/>
              <w:r w:rsidR="00887D84">
                <w:rPr>
                  <w:rFonts w:ascii="Times New Roman" w:eastAsia="Times New Roman" w:hAnsi="Times New Roman" w:cs="Times New Roman"/>
                  <w:color w:val="000000"/>
                  <w:lang w:eastAsia="pl-PL"/>
                </w:rPr>
                <w:t>Wytyckie</w:t>
              </w:r>
              <w:proofErr w:type="spellEnd"/>
            </w:hyperlink>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478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A47575">
            <w:pPr>
              <w:spacing w:after="0" w:line="240" w:lineRule="auto"/>
              <w:jc w:val="center"/>
              <w:rPr>
                <w:rFonts w:ascii="Times New Roman" w:eastAsia="Times New Roman" w:hAnsi="Times New Roman" w:cs="Times New Roman"/>
                <w:color w:val="000000"/>
                <w:lang w:eastAsia="pl-PL"/>
              </w:rPr>
            </w:pPr>
            <w:hyperlink r:id="rId132">
              <w:proofErr w:type="spellStart"/>
              <w:r w:rsidR="00887D84">
                <w:rPr>
                  <w:rFonts w:ascii="Times New Roman" w:eastAsia="Times New Roman" w:hAnsi="Times New Roman" w:cs="Times New Roman"/>
                  <w:color w:val="000000"/>
                  <w:lang w:eastAsia="pl-PL"/>
                </w:rPr>
                <w:t>Rotcze</w:t>
              </w:r>
              <w:proofErr w:type="spellEnd"/>
              <w:r w:rsidR="00887D84">
                <w:rPr>
                  <w:rFonts w:ascii="Times New Roman" w:eastAsia="Times New Roman" w:hAnsi="Times New Roman" w:cs="Times New Roman"/>
                  <w:color w:val="000000"/>
                  <w:lang w:eastAsia="pl-PL"/>
                </w:rPr>
                <w:t xml:space="preserve"> (Grabniak)</w:t>
              </w:r>
            </w:hyperlink>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45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Moszne</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Karaśne</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lastRenderedPageBreak/>
              <w:t>Płotycze</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10,6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 m</w:t>
            </w:r>
          </w:p>
        </w:tc>
      </w:tr>
      <w:tr w:rsidR="00DC75FA">
        <w:trPr>
          <w:trHeight w:val="6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Wereszczyńskie (</w:t>
            </w:r>
            <w:proofErr w:type="spellStart"/>
            <w:r>
              <w:rPr>
                <w:rFonts w:ascii="Times New Roman" w:eastAsia="Times New Roman" w:hAnsi="Times New Roman" w:cs="Times New Roman"/>
                <w:color w:val="000000"/>
                <w:lang w:eastAsia="pl-PL"/>
              </w:rPr>
              <w:t>Bombelek</w:t>
            </w:r>
            <w:proofErr w:type="spellEnd"/>
            <w:r>
              <w:rPr>
                <w:rFonts w:ascii="Times New Roman" w:eastAsia="Times New Roman" w:hAnsi="Times New Roman" w:cs="Times New Roman"/>
                <w:color w:val="000000"/>
                <w:lang w:eastAsia="pl-PL"/>
              </w:rPr>
              <w:t>)</w:t>
            </w:r>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5,2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Łukie</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150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6,5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Długie</w:t>
            </w:r>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Urszulin</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28,4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r>
              <w:rPr>
                <w:rFonts w:ascii="Times New Roman" w:eastAsia="Times New Roman" w:hAnsi="Times New Roman" w:cs="Times New Roman"/>
                <w:color w:val="000000"/>
                <w:lang w:eastAsia="pl-PL"/>
              </w:rPr>
              <w:t xml:space="preserve"> </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Uściwierz</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Cyców</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284,1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6,6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Świerszczów</w:t>
            </w:r>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Cyców</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0,9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Uściwierzek</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Cyców</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Głębokie</w:t>
            </w:r>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Cyców</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11,4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5,7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Turowolskie</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Puchaczów</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0,5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Nadrybie</w:t>
            </w:r>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Puchaczów</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39,9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m</w:t>
            </w:r>
          </w:p>
        </w:tc>
      </w:tr>
      <w:tr w:rsidR="00DC75FA">
        <w:trPr>
          <w:trHeight w:val="300"/>
        </w:trPr>
        <w:tc>
          <w:tcPr>
            <w:tcW w:w="2829" w:type="dxa"/>
            <w:tcBorders>
              <w:left w:val="single" w:sz="4" w:space="0" w:color="000000"/>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Uściwierzek</w:t>
            </w:r>
            <w:proofErr w:type="spellEnd"/>
          </w:p>
        </w:tc>
        <w:tc>
          <w:tcPr>
            <w:tcW w:w="1931"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Puchaczów</w:t>
            </w:r>
          </w:p>
        </w:tc>
        <w:tc>
          <w:tcPr>
            <w:tcW w:w="237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 ha</w:t>
            </w:r>
          </w:p>
        </w:tc>
        <w:tc>
          <w:tcPr>
            <w:tcW w:w="2069" w:type="dxa"/>
            <w:tcBorders>
              <w:bottom w:val="single" w:sz="4" w:space="0" w:color="000000"/>
              <w:right w:val="single" w:sz="4" w:space="0" w:color="000000"/>
            </w:tcBorders>
            <w:shd w:val="clear" w:color="auto" w:fill="auto"/>
            <w:vAlign w:val="bottom"/>
          </w:tcPr>
          <w:p w:rsidR="00DC75FA" w:rsidRDefault="00887D84">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bd</w:t>
            </w:r>
            <w:proofErr w:type="spellEnd"/>
          </w:p>
        </w:tc>
      </w:tr>
    </w:tbl>
    <w:p w:rsidR="00DC75FA" w:rsidRDefault="00887D84">
      <w:pPr>
        <w:pStyle w:val="Legenda"/>
        <w:rPr>
          <w:rFonts w:ascii="Times New Roman" w:hAnsi="Times New Roman" w:cs="Times New Roman"/>
        </w:rPr>
      </w:pPr>
      <w:r>
        <w:rPr>
          <w:rFonts w:ascii="Times New Roman" w:hAnsi="Times New Roman" w:cs="Times New Roman"/>
        </w:rPr>
        <w:t>Źródło: Opracowanie własne na podstawie dokumentów strategicznych gmin i powiatu łęczyńskiego</w:t>
      </w:r>
    </w:p>
    <w:p w:rsidR="00DC75FA" w:rsidRDefault="00DC75FA">
      <w:pPr>
        <w:pStyle w:val="Default"/>
        <w:spacing w:line="276" w:lineRule="auto"/>
        <w:ind w:firstLine="567"/>
        <w:jc w:val="both"/>
        <w:rPr>
          <w:rFonts w:asciiTheme="majorHAnsi" w:hAnsiTheme="majorHAnsi" w:cstheme="majorHAnsi"/>
          <w:sz w:val="22"/>
          <w:szCs w:val="22"/>
        </w:rPr>
      </w:pPr>
    </w:p>
    <w:p w:rsidR="00DC75FA" w:rsidRDefault="00887D84">
      <w:pPr>
        <w:ind w:firstLine="708"/>
        <w:jc w:val="both"/>
        <w:rPr>
          <w:rFonts w:ascii="Times New Roman" w:hAnsi="Times New Roman" w:cs="Times New Roman"/>
        </w:rPr>
      </w:pPr>
      <w:r>
        <w:rPr>
          <w:rFonts w:ascii="Times New Roman" w:hAnsi="Times New Roman" w:cs="Times New Roman"/>
        </w:rPr>
        <w:t xml:space="preserve">Geneza jezior nie jest jeszcze ostatecznie wyjaśniona. Uznaje się, że płytkie jeziora są pozostałością rozlewisk plejstoceńskich, głębokie zaś mają związek ze zjawiskami krasowymi. Część z ich to jeziora o rozległej, piaszczystej plaży zachęcające do czynnego odpoczynku (pływanie, żeglowanie, jazda na nartach wodnych) oraz do zażywania kąpieli wodno-słonecznych (Piaseczno, </w:t>
      </w:r>
      <w:proofErr w:type="spellStart"/>
      <w:r>
        <w:rPr>
          <w:rFonts w:ascii="Times New Roman" w:hAnsi="Times New Roman" w:cs="Times New Roman"/>
        </w:rPr>
        <w:t>Łukcze</w:t>
      </w:r>
      <w:proofErr w:type="spellEnd"/>
      <w:r>
        <w:rPr>
          <w:rFonts w:ascii="Times New Roman" w:hAnsi="Times New Roman" w:cs="Times New Roman"/>
        </w:rPr>
        <w:t>). Część nie nadaje się na kąpieliska, ale stanowi niezwykle cenny obiekt przyrodniczo-krajobrazowy, szczególnie ze względu na otoczenie złożone z torfowisk przejściowych i wysokich z bardzo bogatymi formami reliktowymi borealnymi i północnymi.</w:t>
      </w:r>
    </w:p>
    <w:p w:rsidR="00DC75FA" w:rsidRDefault="00887D84">
      <w:pPr>
        <w:ind w:firstLine="708"/>
        <w:jc w:val="both"/>
        <w:rPr>
          <w:rFonts w:ascii="Times New Roman" w:hAnsi="Times New Roman" w:cs="Times New Roman"/>
        </w:rPr>
      </w:pPr>
      <w:r>
        <w:rPr>
          <w:rFonts w:ascii="Times New Roman" w:hAnsi="Times New Roman" w:cs="Times New Roman"/>
        </w:rPr>
        <w:t xml:space="preserve">Do jezior o największych walorach rekreacyjnych należą: jez. Piaseczno, </w:t>
      </w:r>
      <w:proofErr w:type="spellStart"/>
      <w:r>
        <w:rPr>
          <w:rFonts w:ascii="Times New Roman" w:hAnsi="Times New Roman" w:cs="Times New Roman"/>
        </w:rPr>
        <w:t>Rogóżno</w:t>
      </w:r>
      <w:proofErr w:type="spellEnd"/>
      <w:r>
        <w:rPr>
          <w:rFonts w:ascii="Times New Roman" w:hAnsi="Times New Roman" w:cs="Times New Roman"/>
        </w:rPr>
        <w:t xml:space="preserve">, </w:t>
      </w:r>
      <w:proofErr w:type="spellStart"/>
      <w:r>
        <w:rPr>
          <w:rFonts w:ascii="Times New Roman" w:hAnsi="Times New Roman" w:cs="Times New Roman"/>
        </w:rPr>
        <w:t>Łukcze</w:t>
      </w:r>
      <w:proofErr w:type="spellEnd"/>
      <w:r>
        <w:rPr>
          <w:rFonts w:ascii="Times New Roman" w:hAnsi="Times New Roman" w:cs="Times New Roman"/>
        </w:rPr>
        <w:t xml:space="preserve">, </w:t>
      </w:r>
      <w:proofErr w:type="spellStart"/>
      <w:r>
        <w:rPr>
          <w:rFonts w:ascii="Times New Roman" w:hAnsi="Times New Roman" w:cs="Times New Roman"/>
        </w:rPr>
        <w:t>Zagłębocze</w:t>
      </w:r>
      <w:proofErr w:type="spellEnd"/>
      <w:r>
        <w:rPr>
          <w:rFonts w:ascii="Times New Roman" w:hAnsi="Times New Roman" w:cs="Times New Roman"/>
        </w:rPr>
        <w:t xml:space="preserve">, Krasne, </w:t>
      </w:r>
      <w:proofErr w:type="spellStart"/>
      <w:r>
        <w:rPr>
          <w:rFonts w:ascii="Times New Roman" w:hAnsi="Times New Roman" w:cs="Times New Roman"/>
        </w:rPr>
        <w:t>Rotcze</w:t>
      </w:r>
      <w:proofErr w:type="spellEnd"/>
      <w:r>
        <w:rPr>
          <w:rFonts w:ascii="Times New Roman" w:hAnsi="Times New Roman" w:cs="Times New Roman"/>
        </w:rPr>
        <w:t>. Stwarzają one możliwość kąpieli, uprawiania sportów wodnych, a także wędkowania. Nad jeziorami powstały liczne ośrodki wypoczynkowe. Dzikie, zarastające jeziora stanowią raj dla ptactwa wodnego i wielu innych chronionych gatunków roślin i zwierząt. Jeziora Świerszczów i </w:t>
      </w:r>
      <w:proofErr w:type="spellStart"/>
      <w:r>
        <w:rPr>
          <w:rFonts w:ascii="Times New Roman" w:hAnsi="Times New Roman" w:cs="Times New Roman"/>
        </w:rPr>
        <w:t>Brzeziczno</w:t>
      </w:r>
      <w:proofErr w:type="spellEnd"/>
      <w:r>
        <w:rPr>
          <w:rFonts w:ascii="Times New Roman" w:hAnsi="Times New Roman" w:cs="Times New Roman"/>
        </w:rPr>
        <w:t xml:space="preserve"> zostały objęte ochroną jako rezerwaty. Jeziora </w:t>
      </w:r>
      <w:proofErr w:type="spellStart"/>
      <w:r>
        <w:rPr>
          <w:rFonts w:ascii="Times New Roman" w:hAnsi="Times New Roman" w:cs="Times New Roman"/>
        </w:rPr>
        <w:t>Łukie</w:t>
      </w:r>
      <w:proofErr w:type="spellEnd"/>
      <w:r>
        <w:rPr>
          <w:rFonts w:ascii="Times New Roman" w:hAnsi="Times New Roman" w:cs="Times New Roman"/>
        </w:rPr>
        <w:t xml:space="preserve">, </w:t>
      </w:r>
      <w:proofErr w:type="spellStart"/>
      <w:r>
        <w:rPr>
          <w:rFonts w:ascii="Times New Roman" w:hAnsi="Times New Roman" w:cs="Times New Roman"/>
        </w:rPr>
        <w:t>Moszne</w:t>
      </w:r>
      <w:proofErr w:type="spellEnd"/>
      <w:r>
        <w:rPr>
          <w:rFonts w:ascii="Times New Roman" w:hAnsi="Times New Roman" w:cs="Times New Roman"/>
        </w:rPr>
        <w:t xml:space="preserve">, Kraśne i Długie znajdują się w granicach Poleskiego Parku Narodowego. </w:t>
      </w:r>
    </w:p>
    <w:p w:rsidR="00DC75FA" w:rsidRDefault="00887D84">
      <w:pPr>
        <w:ind w:firstLine="708"/>
        <w:jc w:val="both"/>
        <w:rPr>
          <w:rFonts w:ascii="Times New Roman" w:hAnsi="Times New Roman" w:cs="Times New Roman"/>
        </w:rPr>
      </w:pPr>
      <w:r>
        <w:rPr>
          <w:rFonts w:ascii="Times New Roman" w:hAnsi="Times New Roman" w:cs="Times New Roman"/>
        </w:rPr>
        <w:t xml:space="preserve">Występowaniu znacznych terenów podmokłych, które decydują o poleskim charakterze tego obszaru sprzyja przede wszystkim płaskość terenu, która utrudnia spływ wody, a także płytkie zaleganie pierwszego poziomu wód gruntowych. W czasie wiosennych roztopów lub długotrwałych opadów  wielkie obszary pokrywa woda i stają się one niemal niedostępne. Bagna i torfowiska zajmują znaczną część terenu Pojezierza Łęczyńsko-Włodawskiego. Jest to obszar wyjątkowego bogactwa torfowisk wysokich, przejściowych, niskich, a także unikatowych torfowisk węglanowych (Bagno </w:t>
      </w:r>
      <w:proofErr w:type="spellStart"/>
      <w:r>
        <w:rPr>
          <w:rFonts w:ascii="Times New Roman" w:hAnsi="Times New Roman" w:cs="Times New Roman"/>
        </w:rPr>
        <w:t>Bubnów</w:t>
      </w:r>
      <w:proofErr w:type="spellEnd"/>
      <w:r>
        <w:rPr>
          <w:rFonts w:ascii="Times New Roman" w:hAnsi="Times New Roman" w:cs="Times New Roman"/>
        </w:rPr>
        <w:t>). Z tego powodu teren ten porównywany jest do miniatury europejskiej tundry i lasotundry, wysuniętej najdalej w Europie na południowych wschód.</w:t>
      </w:r>
    </w:p>
    <w:p w:rsidR="00DC75FA" w:rsidRDefault="00887D84">
      <w:pPr>
        <w:ind w:firstLine="708"/>
        <w:jc w:val="both"/>
        <w:rPr>
          <w:rFonts w:ascii="Times New Roman" w:hAnsi="Times New Roman" w:cs="Times New Roman"/>
        </w:rPr>
      </w:pPr>
      <w:r>
        <w:rPr>
          <w:rFonts w:ascii="Times New Roman" w:hAnsi="Times New Roman" w:cs="Times New Roman"/>
        </w:rPr>
        <w:t>W celu ochrony najcenniejszych i najbardziej charakterystycznych terenów wodno-błotnych, w latach 90. utworzono: Poleski Park Narodowy, Poleski Park Krajobrazowy, Park Krajobrazowy Pojezierze Łęczyńskie, Sobiborski Park Krajobrazowy, Nadwieprzański Park Krajobrazowy, a także liczne rezerwaty i obszary Natura 2000. W 2012 r. Poleski Park Narodowy, Sobiborski Park Krajobrazowy, Park Krajobrazowy Pojezierze Łęczyńskie, Lasy Włodawskie i Parczewskie weszły w skład Transgranicznego Rezerwatu Biosfery o nazwie „Polesie Zachodnie”, obejmującego tereny Polski, Białorusi i Ukrainy.</w:t>
      </w:r>
    </w:p>
    <w:p w:rsidR="00DC75FA" w:rsidRDefault="00887D84">
      <w:pPr>
        <w:ind w:firstLine="708"/>
        <w:jc w:val="both"/>
        <w:rPr>
          <w:rFonts w:ascii="Times New Roman" w:hAnsi="Times New Roman" w:cs="Times New Roman"/>
        </w:rPr>
      </w:pPr>
      <w:r>
        <w:rPr>
          <w:rFonts w:ascii="Times New Roman" w:hAnsi="Times New Roman" w:cs="Times New Roman"/>
        </w:rPr>
        <w:t>Duży wpływ na atrakcyjność turystyczną Pojezierza mają także rzeki Wierz, Bug oraz ich dopływy, które stanowią raj dla kajakarzy i wędkarzy. W celu regulacji stosunków wodnych, na obszarze tym w latach 1954–1961 zbudowano około 140 km Kanał Wieprz-Krzna.</w:t>
      </w:r>
    </w:p>
    <w:p w:rsidR="00DC75FA" w:rsidRDefault="00DC75FA">
      <w:pPr>
        <w:pStyle w:val="Default"/>
        <w:spacing w:line="276" w:lineRule="auto"/>
        <w:ind w:firstLine="567"/>
        <w:jc w:val="both"/>
        <w:rPr>
          <w:rFonts w:asciiTheme="majorHAnsi" w:hAnsiTheme="majorHAnsi" w:cstheme="majorHAnsi"/>
          <w:sz w:val="22"/>
          <w:szCs w:val="22"/>
          <w:highlight w:val="yellow"/>
        </w:rPr>
      </w:pPr>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168" w:name="_Toc116896687"/>
      <w:r>
        <w:rPr>
          <w:rFonts w:ascii="Times New Roman" w:hAnsi="Times New Roman" w:cs="Times New Roman"/>
          <w:b/>
          <w:color w:val="5B9BD5" w:themeColor="accent1"/>
          <w:sz w:val="24"/>
          <w:szCs w:val="24"/>
        </w:rPr>
        <w:t>Gospodarka w obiegu zamkniętym i odnawialne źródła energii</w:t>
      </w:r>
      <w:bookmarkEnd w:id="168"/>
    </w:p>
    <w:p w:rsidR="00DC75FA" w:rsidRDefault="00887D84">
      <w:pPr>
        <w:ind w:firstLine="567"/>
        <w:jc w:val="both"/>
        <w:rPr>
          <w:rFonts w:ascii="Times New Roman" w:hAnsi="Times New Roman" w:cs="Times New Roman"/>
        </w:rPr>
      </w:pPr>
      <w:r>
        <w:rPr>
          <w:rFonts w:ascii="Times New Roman" w:hAnsi="Times New Roman" w:cs="Times New Roman"/>
        </w:rPr>
        <w:lastRenderedPageBreak/>
        <w:t>Chcąc zachować wszelkie walory przyrodnicze, stanowiące nie tylko atrakcję turystyczną, ale również wpływające na jakość życia w gminie, niezwykle ważne jest stosowanie odpowiednich rozwiązań w kwestii ochrony środowiska. Pierwszą z nich jest gospodarka odpadami.</w:t>
      </w:r>
    </w:p>
    <w:p w:rsidR="00DC75FA" w:rsidRDefault="00887D84">
      <w:pPr>
        <w:ind w:firstLine="567"/>
        <w:jc w:val="both"/>
      </w:pPr>
      <w:r>
        <w:rPr>
          <w:rFonts w:ascii="Times New Roman" w:hAnsi="Times New Roman" w:cs="Times New Roman"/>
        </w:rPr>
        <w:t>Zmieszane odpady komunalne to odpady zebrane w ciągu roku bez odpadów zebranych selektywnie i wyselekcjonowanych z frakcji suchej. W 2019 r. na terenie OF zebrano ponad 4 126 ton zmieszanych odpadów komunalnych ogółem, w tym ponad 3 191 ton z gospodarstw domowych. Masa zebranych odpadów komunalnych ogółem w przeliczeniu na 1 mieszkańca w 2019 r. na terenie OF wyniosła średnio 125 kg – o 33,7% więcej niż w 2015 r.</w:t>
      </w:r>
    </w:p>
    <w:p w:rsidR="00DC75FA" w:rsidRDefault="00887D84">
      <w:pPr>
        <w:pStyle w:val="aaapodpis"/>
      </w:pPr>
      <w:bookmarkStart w:id="169" w:name="_Toc75899523"/>
      <w:r>
        <w:t xml:space="preserve">Wykres </w:t>
      </w:r>
      <w:r>
        <w:fldChar w:fldCharType="begin"/>
      </w:r>
      <w:r>
        <w:instrText>SEQ Wykres \* ARABIC</w:instrText>
      </w:r>
      <w:r>
        <w:fldChar w:fldCharType="separate"/>
      </w:r>
      <w:r>
        <w:t>28</w:t>
      </w:r>
      <w:r>
        <w:fldChar w:fldCharType="end"/>
      </w:r>
      <w:r>
        <w:t>: Zmieszane odpady komunalne zebrane w ciągu roku (w t) ogółem i z gospodarstw domowych na terenie OF w latach 2015-2019</w:t>
      </w:r>
      <w:bookmarkEnd w:id="169"/>
    </w:p>
    <w:p w:rsidR="00DC75FA" w:rsidRDefault="00887D84">
      <w:pPr>
        <w:pStyle w:val="aaardo"/>
      </w:pPr>
      <w:r>
        <w:rPr>
          <w:noProof/>
          <w:lang w:eastAsia="pl-PL"/>
        </w:rPr>
        <w:drawing>
          <wp:inline distT="0" distB="0" distL="0" distR="0">
            <wp:extent cx="6120130" cy="2720340"/>
            <wp:effectExtent l="0" t="0" r="0" b="0"/>
            <wp:docPr id="107" name="Wykres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t xml:space="preserve"> Źródło: opracowanie własne na podstawie danych GUS – Bank Danych Lokalnych.</w:t>
      </w:r>
    </w:p>
    <w:p w:rsidR="00DC75FA" w:rsidRDefault="00887D84">
      <w:pPr>
        <w:pStyle w:val="aaapodpis"/>
      </w:pPr>
      <w:bookmarkStart w:id="170" w:name="_Toc75899524"/>
      <w:r>
        <w:t xml:space="preserve">Wykres </w:t>
      </w:r>
      <w:r>
        <w:fldChar w:fldCharType="begin"/>
      </w:r>
      <w:r>
        <w:instrText>SEQ Wykres \* ARABIC</w:instrText>
      </w:r>
      <w:r>
        <w:fldChar w:fldCharType="separate"/>
      </w:r>
      <w:r>
        <w:t>29</w:t>
      </w:r>
      <w:r>
        <w:fldChar w:fldCharType="end"/>
      </w:r>
      <w:r>
        <w:t>: Odpady komunalne zebrane w ciągu roku ogółem w przeliczeniu na 1 mieszkańca (w kg) na terenie OF w latach 2015-2019</w:t>
      </w:r>
      <w:bookmarkEnd w:id="170"/>
    </w:p>
    <w:p w:rsidR="00DC75FA" w:rsidRDefault="00887D84">
      <w:pPr>
        <w:pStyle w:val="aaardo"/>
      </w:pPr>
      <w:r>
        <w:rPr>
          <w:noProof/>
          <w:lang w:eastAsia="pl-PL"/>
        </w:rPr>
        <w:drawing>
          <wp:inline distT="0" distB="0" distL="0" distR="0">
            <wp:extent cx="6120130" cy="1885950"/>
            <wp:effectExtent l="0" t="0" r="0" b="0"/>
            <wp:docPr id="108" name="Wykres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t xml:space="preserve"> Źródło: opracowanie własne na podstawie danych GUS – Bank Danych Lokalnych.</w:t>
      </w:r>
    </w:p>
    <w:p w:rsidR="00DC75FA" w:rsidRDefault="00887D84">
      <w:pPr>
        <w:jc w:val="both"/>
        <w:rPr>
          <w:rFonts w:ascii="Times New Roman" w:hAnsi="Times New Roman" w:cs="Times New Roman"/>
        </w:rPr>
      </w:pPr>
      <w:r>
        <w:rPr>
          <w:rFonts w:ascii="Times New Roman" w:hAnsi="Times New Roman" w:cs="Times New Roman"/>
        </w:rPr>
        <w:t>W Gminie Cyców od 2016 r. ilość odpadów komunalnych zebranych w ciągu roku systematycznie rosłą, osiągając w 2018 r. prawie 900 t. W Gminie Ludwin najwięcej ton zmieszanych odpadów zebrano w 2017 r. oraz 2019 r. (432 t oraz 449 t.). W Gminie Milejów i Puchaczów zebrano najwięcej odpadów komunalnych (w Gminie Milejów było to ponad 1 173 t. a w Gminie Puchaczów prawe 1 203 t.). W Gminie Urszulin ilość ton zebranych odpadów rosła od 2015 r. do 2018 r. W 2019 r. wyniosła ona 428 t.</w:t>
      </w:r>
    </w:p>
    <w:p w:rsidR="00DC75FA" w:rsidRDefault="00887D84">
      <w:pPr>
        <w:pStyle w:val="aaapodpis"/>
        <w:spacing w:line="276" w:lineRule="auto"/>
      </w:pPr>
      <w:bookmarkStart w:id="171" w:name="_Toc75899525"/>
      <w:r>
        <w:lastRenderedPageBreak/>
        <w:t>Wykres 60: Zmieszane odpady komunalne zebrane w ciągu roku (w t) ogółem i z gospodarstw domowych w poszczególnych JST na terenie OF w latach 2015-2019</w:t>
      </w:r>
      <w:bookmarkEnd w:id="171"/>
    </w:p>
    <w:p w:rsidR="00DC75FA" w:rsidRDefault="00887D84">
      <w:pPr>
        <w:pStyle w:val="aaardo"/>
      </w:pPr>
      <w:r>
        <w:rPr>
          <w:noProof/>
          <w:lang w:eastAsia="pl-PL"/>
        </w:rPr>
        <w:drawing>
          <wp:inline distT="0" distB="0" distL="0" distR="0">
            <wp:extent cx="6120130" cy="2559050"/>
            <wp:effectExtent l="0" t="0" r="0" b="0"/>
            <wp:docPr id="109" name="Wykres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t xml:space="preserve"> Źródło: opracowanie własne na podstawie danych GUS – Bank Danych Lokalnych.</w:t>
      </w:r>
    </w:p>
    <w:p w:rsidR="00DC75FA" w:rsidRDefault="00887D84">
      <w:pPr>
        <w:jc w:val="both"/>
        <w:rPr>
          <w:rFonts w:ascii="Times New Roman" w:hAnsi="Times New Roman" w:cs="Times New Roman"/>
        </w:rPr>
      </w:pPr>
      <w:r>
        <w:rPr>
          <w:rFonts w:ascii="Times New Roman" w:hAnsi="Times New Roman" w:cs="Times New Roman"/>
        </w:rPr>
        <w:t>W analizowanym okresie najwyższy wskaźnik zebranych odpadów komunalnych na 1 mieszkańca odnotowano w Gminie Puchaczów, w 2019 r. wskazywał on 229,5 kg. Najniższy wskaźnik odnotowano w Gminie Ludwin (79,9 kg) oraz Gminie Urszulin (74,8 kg). W Gminie Cyców od 2016 r. wskaźnik ten systematycznie rósł i w 2019 r. osiągnął 112,9 kg, podobnie sytuacja przedstawia się w Gminie Milejów gdzie w 2019 r. zebrano średnio 128,1 kg odpadów komunalnych w przeliczeniu na 1 mieszkańca.</w:t>
      </w:r>
    </w:p>
    <w:p w:rsidR="00DC75FA" w:rsidRDefault="00DC75FA"/>
    <w:p w:rsidR="00DC75FA" w:rsidRDefault="00887D84">
      <w:pPr>
        <w:pStyle w:val="aaapodpis"/>
      </w:pPr>
      <w:bookmarkStart w:id="172" w:name="_Toc75899526"/>
      <w:r>
        <w:t>Wykres 61: Odpady komunalne zebrane w ciągu roku ogółem w przeliczeniu na 1 mieszkańca (w kg) w poszczególnych JST na terenie OF w latach 2015-2019</w:t>
      </w:r>
      <w:bookmarkEnd w:id="172"/>
    </w:p>
    <w:p w:rsidR="00DC75FA" w:rsidRDefault="00887D84">
      <w:pPr>
        <w:pStyle w:val="aaardo"/>
      </w:pPr>
      <w:r>
        <w:rPr>
          <w:noProof/>
          <w:lang w:eastAsia="pl-PL"/>
        </w:rPr>
        <w:drawing>
          <wp:inline distT="0" distB="0" distL="0" distR="0">
            <wp:extent cx="6120130" cy="2431415"/>
            <wp:effectExtent l="0" t="0" r="0" b="0"/>
            <wp:docPr id="110" name="Wykres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Pr>
          <w:highlight w:val="yellow"/>
        </w:rPr>
        <w:t xml:space="preserve"> </w:t>
      </w:r>
      <w:r>
        <w:t>Źródło: opracowanie własne na podstawie danych GUS – Bank Danych Lokalnych.</w:t>
      </w:r>
    </w:p>
    <w:p w:rsidR="00DC75FA" w:rsidRDefault="00887D84">
      <w:pPr>
        <w:spacing w:after="0"/>
        <w:ind w:firstLine="567"/>
        <w:jc w:val="both"/>
        <w:rPr>
          <w:rFonts w:ascii="Times New Roman" w:hAnsi="Times New Roman" w:cs="Times New Roman"/>
        </w:rPr>
      </w:pPr>
      <w:r>
        <w:rPr>
          <w:rFonts w:ascii="Times New Roman" w:hAnsi="Times New Roman" w:cs="Times New Roman"/>
        </w:rPr>
        <w:t>Na ochronę środowiska i przeciwdziałanie negatywnym zmianom klimatu wpływa stosowanie nowych rozwiązań energetycznych. Aby w skuteczny sposób eliminować zanieczyszczenia, naprzeciw surowcom energetycznym wychodzą odnawialne źródła energii. Na terenie OF w poszczególnych JST podjęto realizację następujących projektów, mających na celu propagowanie wykorzystania OZE:</w:t>
      </w:r>
    </w:p>
    <w:p w:rsidR="00DC75FA" w:rsidRDefault="00887D84">
      <w:pPr>
        <w:pStyle w:val="Akapitzlist"/>
        <w:numPr>
          <w:ilvl w:val="0"/>
          <w:numId w:val="38"/>
        </w:numPr>
        <w:spacing w:after="120" w:line="276" w:lineRule="auto"/>
        <w:jc w:val="both"/>
        <w:rPr>
          <w:rFonts w:ascii="Times New Roman" w:hAnsi="Times New Roman" w:cs="Times New Roman"/>
        </w:rPr>
      </w:pPr>
      <w:r>
        <w:rPr>
          <w:rFonts w:ascii="Times New Roman" w:hAnsi="Times New Roman" w:cs="Times New Roman"/>
        </w:rPr>
        <w:t>Gmina Cyców: realizacja projektu pn. „Montaż instalacji wykorzystujących OZE w budynkach mieszkalnych na terenie Gminy Cyców” oraz „Odnawialne źródła energii w Gminie Cyców”, współfinansowanego ze środków Europejskiego Funduszu Rozwoju Regionalnego w ramach Regionalnego Programu Operacyjnego Województwa Lubelskiego na lata 2014-2020.</w:t>
      </w:r>
    </w:p>
    <w:p w:rsidR="00DC75FA" w:rsidRDefault="00887D84">
      <w:pPr>
        <w:pStyle w:val="Akapitzlist"/>
        <w:numPr>
          <w:ilvl w:val="0"/>
          <w:numId w:val="38"/>
        </w:numPr>
        <w:spacing w:after="120" w:line="276" w:lineRule="auto"/>
        <w:jc w:val="both"/>
        <w:rPr>
          <w:rFonts w:ascii="Times New Roman" w:hAnsi="Times New Roman" w:cs="Times New Roman"/>
        </w:rPr>
      </w:pPr>
      <w:r>
        <w:rPr>
          <w:rFonts w:ascii="Times New Roman" w:hAnsi="Times New Roman" w:cs="Times New Roman"/>
        </w:rPr>
        <w:lastRenderedPageBreak/>
        <w:t>Gmina Ludwin: realizacja projektu pn. „Energia ze słońca w Gminie Ludwin”, współfinansowanego ze środków Europejskiego Funduszu Rozwoju Regionalnego w ramach Regionalnego Programu Operacyjnego Województwa Lubelskiego na lata 2014-2020</w:t>
      </w:r>
    </w:p>
    <w:p w:rsidR="00DC75FA" w:rsidRDefault="00887D84">
      <w:pPr>
        <w:pStyle w:val="Akapitzlist"/>
        <w:numPr>
          <w:ilvl w:val="0"/>
          <w:numId w:val="38"/>
        </w:numPr>
        <w:spacing w:after="120" w:line="276" w:lineRule="auto"/>
        <w:jc w:val="both"/>
        <w:rPr>
          <w:rFonts w:ascii="Times New Roman" w:hAnsi="Times New Roman" w:cs="Times New Roman"/>
        </w:rPr>
      </w:pPr>
      <w:r>
        <w:rPr>
          <w:rFonts w:ascii="Times New Roman" w:hAnsi="Times New Roman" w:cs="Times New Roman"/>
        </w:rPr>
        <w:t>Gmina Milejów: realizacja projektu pn. „Odnawialne Źródła Energii szansą poprawy środowiska naturalnego na terenie Gminy Milejów”, współfinansowanego ze środków Europejskiego Funduszu Rozwoju Regionalnego w ramach Regionalnego Programu Operacyjnego Województwa Lubelskiego na lata 2014-2020.</w:t>
      </w:r>
    </w:p>
    <w:p w:rsidR="00DC75FA" w:rsidRDefault="00887D84">
      <w:pPr>
        <w:pStyle w:val="Akapitzlist"/>
        <w:numPr>
          <w:ilvl w:val="0"/>
          <w:numId w:val="38"/>
        </w:numPr>
        <w:spacing w:after="120" w:line="276" w:lineRule="auto"/>
        <w:jc w:val="both"/>
        <w:rPr>
          <w:rFonts w:ascii="Times New Roman" w:hAnsi="Times New Roman" w:cs="Times New Roman"/>
        </w:rPr>
      </w:pPr>
      <w:r>
        <w:rPr>
          <w:rFonts w:ascii="Times New Roman" w:hAnsi="Times New Roman" w:cs="Times New Roman"/>
        </w:rPr>
        <w:t>Gmina Puchaczów: realizacja projektu pn. „Odnawialne źródła  energii w gminie Puchaczów – montaż kolektorów słonecznych etap II”, współfinansowanego ze środków Europejskiego Funduszu Rozwoju Regionalnego w ramach Regionalnego Programu Operacyjnego Województwa Lubelskiego na lata 2014-2020.</w:t>
      </w:r>
    </w:p>
    <w:p w:rsidR="00DC75FA" w:rsidRDefault="00887D84">
      <w:pPr>
        <w:pStyle w:val="Akapitzlist"/>
        <w:numPr>
          <w:ilvl w:val="0"/>
          <w:numId w:val="38"/>
        </w:numPr>
        <w:spacing w:after="120" w:line="276" w:lineRule="auto"/>
        <w:jc w:val="both"/>
        <w:rPr>
          <w:rFonts w:ascii="Times New Roman" w:hAnsi="Times New Roman" w:cs="Times New Roman"/>
        </w:rPr>
      </w:pPr>
      <w:r>
        <w:rPr>
          <w:rFonts w:ascii="Times New Roman" w:hAnsi="Times New Roman" w:cs="Times New Roman"/>
        </w:rPr>
        <w:t>Gmina Urszulin: realizacja projektu pn. „Energia odnawialna w Gminie Urszulin”, współfinansowanego ze środków Europejskiego Funduszu Rozwoju Regionalnego w ramach Regionalnego Programu Operacyjnego Województwa Lubelskiego na lata 2014-2020.</w:t>
      </w:r>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173" w:name="_Toc116896688"/>
      <w:r>
        <w:rPr>
          <w:rFonts w:ascii="Times New Roman" w:hAnsi="Times New Roman" w:cs="Times New Roman"/>
          <w:b/>
          <w:color w:val="5B9BD5" w:themeColor="accent1"/>
          <w:sz w:val="24"/>
          <w:szCs w:val="24"/>
        </w:rPr>
        <w:t>Opieka zdrowotna i pomoc społeczna</w:t>
      </w:r>
      <w:bookmarkEnd w:id="173"/>
    </w:p>
    <w:p w:rsidR="00DC75FA" w:rsidRDefault="00887D84">
      <w:pPr>
        <w:spacing w:after="0"/>
        <w:ind w:firstLine="567"/>
        <w:jc w:val="both"/>
        <w:rPr>
          <w:rFonts w:ascii="Times New Roman" w:hAnsi="Times New Roman" w:cs="Times New Roman"/>
        </w:rPr>
      </w:pPr>
      <w:bookmarkStart w:id="174" w:name="_Hlk51600836"/>
      <w:r>
        <w:rPr>
          <w:rFonts w:ascii="Times New Roman" w:hAnsi="Times New Roman" w:cs="Times New Roman"/>
        </w:rPr>
        <w:t>Zadania z zakresu opieki zdrowotnej na terenie Obszaru Funkcjonalnego wykonywane są za pośrednictwem ośrodków zlokalizowanych w poszczególnych JST</w:t>
      </w:r>
      <w:bookmarkEnd w:id="174"/>
      <w:r>
        <w:rPr>
          <w:rFonts w:ascii="Times New Roman" w:hAnsi="Times New Roman" w:cs="Times New Roman"/>
        </w:rPr>
        <w:t>:</w:t>
      </w:r>
    </w:p>
    <w:p w:rsidR="00DC75FA" w:rsidRDefault="00887D84">
      <w:pPr>
        <w:pStyle w:val="Akapitzlist"/>
        <w:numPr>
          <w:ilvl w:val="0"/>
          <w:numId w:val="37"/>
        </w:numPr>
        <w:spacing w:after="120" w:line="276" w:lineRule="auto"/>
        <w:jc w:val="both"/>
        <w:rPr>
          <w:rFonts w:ascii="Times New Roman" w:hAnsi="Times New Roman" w:cs="Times New Roman"/>
        </w:rPr>
      </w:pPr>
      <w:r>
        <w:rPr>
          <w:rFonts w:ascii="Times New Roman" w:hAnsi="Times New Roman" w:cs="Times New Roman"/>
        </w:rPr>
        <w:t xml:space="preserve">Gmina Cyców: </w:t>
      </w:r>
    </w:p>
    <w:p w:rsidR="00DC75FA" w:rsidRDefault="00887D84">
      <w:pPr>
        <w:pStyle w:val="Akapitzlist"/>
        <w:numPr>
          <w:ilvl w:val="1"/>
          <w:numId w:val="37"/>
        </w:numPr>
        <w:spacing w:after="120" w:line="276" w:lineRule="auto"/>
        <w:jc w:val="both"/>
        <w:rPr>
          <w:rFonts w:ascii="Times New Roman" w:hAnsi="Times New Roman" w:cs="Times New Roman"/>
        </w:rPr>
      </w:pPr>
      <w:r>
        <w:rPr>
          <w:rFonts w:ascii="Times New Roman" w:hAnsi="Times New Roman" w:cs="Times New Roman"/>
        </w:rPr>
        <w:t xml:space="preserve"> Samodzielny Publiczny Zakład Opieki Zdrowotnej w Cycowie,</w:t>
      </w:r>
    </w:p>
    <w:p w:rsidR="00DC75FA" w:rsidRDefault="00887D84">
      <w:pPr>
        <w:pStyle w:val="Akapitzlist"/>
        <w:numPr>
          <w:ilvl w:val="1"/>
          <w:numId w:val="37"/>
        </w:numPr>
        <w:spacing w:after="120" w:line="276" w:lineRule="auto"/>
        <w:jc w:val="both"/>
        <w:rPr>
          <w:rFonts w:ascii="Times New Roman" w:hAnsi="Times New Roman" w:cs="Times New Roman"/>
        </w:rPr>
      </w:pPr>
      <w:r>
        <w:rPr>
          <w:rFonts w:ascii="Times New Roman" w:hAnsi="Times New Roman" w:cs="Times New Roman"/>
        </w:rPr>
        <w:t>Niepubliczny Zakład Opieki Zdrowotnej. Przychodnia MED. – RO w Cycowie</w:t>
      </w:r>
    </w:p>
    <w:p w:rsidR="00DC75FA" w:rsidRDefault="00887D84">
      <w:pPr>
        <w:pStyle w:val="Akapitzlist"/>
        <w:numPr>
          <w:ilvl w:val="1"/>
          <w:numId w:val="37"/>
        </w:numPr>
        <w:spacing w:after="120" w:line="276" w:lineRule="auto"/>
        <w:jc w:val="both"/>
        <w:rPr>
          <w:rFonts w:ascii="Times New Roman" w:hAnsi="Times New Roman" w:cs="Times New Roman"/>
        </w:rPr>
      </w:pPr>
      <w:r>
        <w:rPr>
          <w:rFonts w:ascii="Times New Roman" w:hAnsi="Times New Roman" w:cs="Times New Roman"/>
        </w:rPr>
        <w:t xml:space="preserve">Ośrodek Usług Medycznych „Plus” </w:t>
      </w:r>
      <w:proofErr w:type="spellStart"/>
      <w:r>
        <w:rPr>
          <w:rFonts w:ascii="Times New Roman" w:hAnsi="Times New Roman" w:cs="Times New Roman"/>
        </w:rPr>
        <w:t>Sp.z</w:t>
      </w:r>
      <w:proofErr w:type="spellEnd"/>
      <w:r>
        <w:rPr>
          <w:rFonts w:ascii="Times New Roman" w:hAnsi="Times New Roman" w:cs="Times New Roman"/>
        </w:rPr>
        <w:t xml:space="preserve"> o.o.</w:t>
      </w:r>
    </w:p>
    <w:p w:rsidR="00DC75FA" w:rsidRDefault="00887D84">
      <w:pPr>
        <w:pStyle w:val="Akapitzlist"/>
        <w:numPr>
          <w:ilvl w:val="0"/>
          <w:numId w:val="37"/>
        </w:numPr>
        <w:spacing w:after="120" w:line="276" w:lineRule="auto"/>
        <w:jc w:val="both"/>
        <w:rPr>
          <w:rFonts w:ascii="Times New Roman" w:hAnsi="Times New Roman" w:cs="Times New Roman"/>
        </w:rPr>
      </w:pPr>
      <w:r>
        <w:rPr>
          <w:rFonts w:ascii="Times New Roman" w:hAnsi="Times New Roman" w:cs="Times New Roman"/>
        </w:rPr>
        <w:t>Gmina Ludwin:</w:t>
      </w:r>
    </w:p>
    <w:p w:rsidR="00DC75FA" w:rsidRDefault="00887D84">
      <w:pPr>
        <w:pStyle w:val="Akapitzlist"/>
        <w:numPr>
          <w:ilvl w:val="1"/>
          <w:numId w:val="37"/>
        </w:numPr>
        <w:spacing w:after="120" w:line="276" w:lineRule="auto"/>
        <w:jc w:val="both"/>
        <w:rPr>
          <w:rFonts w:ascii="Times New Roman" w:hAnsi="Times New Roman" w:cs="Times New Roman"/>
        </w:rPr>
      </w:pPr>
      <w:r>
        <w:rPr>
          <w:rFonts w:ascii="Times New Roman" w:hAnsi="Times New Roman" w:cs="Times New Roman"/>
        </w:rPr>
        <w:t>Samodzielny Publiczny Zakład Opieki Zdrowotnej, Gminny Ośrodek Zdrowia w Ludwinie</w:t>
      </w:r>
    </w:p>
    <w:p w:rsidR="00DC75FA" w:rsidRDefault="00887D84">
      <w:pPr>
        <w:pStyle w:val="Akapitzlist"/>
        <w:numPr>
          <w:ilvl w:val="1"/>
          <w:numId w:val="37"/>
        </w:numPr>
        <w:spacing w:after="120" w:line="276" w:lineRule="auto"/>
        <w:jc w:val="both"/>
        <w:rPr>
          <w:rFonts w:ascii="Times New Roman" w:hAnsi="Times New Roman" w:cs="Times New Roman"/>
        </w:rPr>
      </w:pPr>
      <w:r>
        <w:rPr>
          <w:rFonts w:ascii="Times New Roman" w:hAnsi="Times New Roman" w:cs="Times New Roman"/>
        </w:rPr>
        <w:t>Ośrodek Zdrowia w Kaniwoli</w:t>
      </w:r>
    </w:p>
    <w:p w:rsidR="00DC75FA" w:rsidRDefault="00887D84">
      <w:pPr>
        <w:pStyle w:val="Akapitzlist"/>
        <w:numPr>
          <w:ilvl w:val="0"/>
          <w:numId w:val="37"/>
        </w:numPr>
        <w:spacing w:after="120" w:line="276" w:lineRule="auto"/>
        <w:jc w:val="both"/>
        <w:rPr>
          <w:rFonts w:ascii="Times New Roman" w:hAnsi="Times New Roman" w:cs="Times New Roman"/>
        </w:rPr>
      </w:pPr>
      <w:r>
        <w:rPr>
          <w:rFonts w:ascii="Times New Roman" w:hAnsi="Times New Roman" w:cs="Times New Roman"/>
        </w:rPr>
        <w:t>Gmina Milejów:</w:t>
      </w:r>
    </w:p>
    <w:p w:rsidR="00DC75FA" w:rsidRDefault="00887D84">
      <w:pPr>
        <w:pStyle w:val="Akapitzlist"/>
        <w:numPr>
          <w:ilvl w:val="1"/>
          <w:numId w:val="37"/>
        </w:numPr>
        <w:spacing w:after="120" w:line="276" w:lineRule="auto"/>
        <w:jc w:val="both"/>
        <w:rPr>
          <w:rFonts w:ascii="Times New Roman" w:hAnsi="Times New Roman" w:cs="Times New Roman"/>
        </w:rPr>
      </w:pPr>
      <w:r>
        <w:rPr>
          <w:rFonts w:ascii="Times New Roman" w:hAnsi="Times New Roman" w:cs="Times New Roman"/>
        </w:rPr>
        <w:t>Niepubliczny Zakład Opieki Zdrowotnej „Praktyka Lekarzy Rodzinnych" S.C. w Milejowie</w:t>
      </w:r>
    </w:p>
    <w:p w:rsidR="00DC75FA" w:rsidRDefault="00887D84">
      <w:pPr>
        <w:pStyle w:val="Akapitzlist"/>
        <w:numPr>
          <w:ilvl w:val="0"/>
          <w:numId w:val="37"/>
        </w:numPr>
        <w:spacing w:after="120" w:line="276" w:lineRule="auto"/>
        <w:jc w:val="both"/>
        <w:rPr>
          <w:rFonts w:ascii="Times New Roman" w:hAnsi="Times New Roman" w:cs="Times New Roman"/>
        </w:rPr>
      </w:pPr>
      <w:r>
        <w:rPr>
          <w:rFonts w:ascii="Times New Roman" w:hAnsi="Times New Roman" w:cs="Times New Roman"/>
        </w:rPr>
        <w:t>Gmina Puchaczów:</w:t>
      </w:r>
    </w:p>
    <w:p w:rsidR="00DC75FA" w:rsidRDefault="00887D84">
      <w:pPr>
        <w:pStyle w:val="Akapitzlist"/>
        <w:numPr>
          <w:ilvl w:val="1"/>
          <w:numId w:val="37"/>
        </w:numPr>
        <w:spacing w:after="120" w:line="276" w:lineRule="auto"/>
        <w:jc w:val="both"/>
        <w:rPr>
          <w:rFonts w:ascii="Times New Roman" w:hAnsi="Times New Roman" w:cs="Times New Roman"/>
        </w:rPr>
      </w:pPr>
      <w:r>
        <w:rPr>
          <w:rFonts w:ascii="Times New Roman" w:hAnsi="Times New Roman" w:cs="Times New Roman"/>
        </w:rPr>
        <w:t>Gminny Ośrodek Zdrowia Samodzielny Publiczny Zakład Opieki Zdrowotnej w Puchaczowie;</w:t>
      </w:r>
    </w:p>
    <w:p w:rsidR="00DC75FA" w:rsidRDefault="00887D84">
      <w:pPr>
        <w:pStyle w:val="Akapitzlist"/>
        <w:numPr>
          <w:ilvl w:val="0"/>
          <w:numId w:val="37"/>
        </w:numPr>
        <w:spacing w:after="120" w:line="276" w:lineRule="auto"/>
        <w:jc w:val="both"/>
        <w:rPr>
          <w:rFonts w:ascii="Times New Roman" w:hAnsi="Times New Roman" w:cs="Times New Roman"/>
        </w:rPr>
      </w:pPr>
      <w:r>
        <w:rPr>
          <w:rFonts w:ascii="Times New Roman" w:hAnsi="Times New Roman" w:cs="Times New Roman"/>
        </w:rPr>
        <w:t>Gmina Urszulin:</w:t>
      </w:r>
    </w:p>
    <w:p w:rsidR="00DC75FA" w:rsidRDefault="00887D84">
      <w:pPr>
        <w:pStyle w:val="Akapitzlist"/>
        <w:numPr>
          <w:ilvl w:val="1"/>
          <w:numId w:val="37"/>
        </w:numPr>
        <w:spacing w:after="120" w:line="276" w:lineRule="auto"/>
        <w:jc w:val="both"/>
        <w:rPr>
          <w:rFonts w:ascii="Times New Roman" w:hAnsi="Times New Roman" w:cs="Times New Roman"/>
        </w:rPr>
      </w:pPr>
      <w:r>
        <w:rPr>
          <w:rFonts w:ascii="Times New Roman" w:hAnsi="Times New Roman" w:cs="Times New Roman"/>
        </w:rPr>
        <w:t>NZOZ „</w:t>
      </w:r>
      <w:proofErr w:type="spellStart"/>
      <w:r>
        <w:rPr>
          <w:rFonts w:ascii="Times New Roman" w:hAnsi="Times New Roman" w:cs="Times New Roman"/>
        </w:rPr>
        <w:t>AniMED</w:t>
      </w:r>
      <w:proofErr w:type="spellEnd"/>
      <w:r>
        <w:rPr>
          <w:rFonts w:ascii="Times New Roman" w:hAnsi="Times New Roman" w:cs="Times New Roman"/>
        </w:rPr>
        <w:t xml:space="preserve">” </w:t>
      </w:r>
    </w:p>
    <w:p w:rsidR="00DC75FA" w:rsidRDefault="00887D84">
      <w:pPr>
        <w:pStyle w:val="Akapitzlist"/>
        <w:numPr>
          <w:ilvl w:val="1"/>
          <w:numId w:val="37"/>
        </w:numPr>
        <w:spacing w:after="120" w:line="276" w:lineRule="auto"/>
        <w:jc w:val="both"/>
        <w:rPr>
          <w:rFonts w:ascii="Times New Roman" w:hAnsi="Times New Roman" w:cs="Times New Roman"/>
        </w:rPr>
      </w:pPr>
      <w:r>
        <w:rPr>
          <w:rFonts w:ascii="Times New Roman" w:hAnsi="Times New Roman" w:cs="Times New Roman"/>
        </w:rPr>
        <w:t xml:space="preserve">NZOZ „Centrum Medyczne VITA” w Urszulinie. </w:t>
      </w:r>
    </w:p>
    <w:p w:rsidR="00DC75FA" w:rsidRDefault="00887D84">
      <w:pPr>
        <w:pStyle w:val="Akapitzlist"/>
        <w:numPr>
          <w:ilvl w:val="1"/>
          <w:numId w:val="37"/>
        </w:numPr>
        <w:spacing w:after="120" w:line="276" w:lineRule="auto"/>
        <w:jc w:val="both"/>
        <w:rPr>
          <w:rFonts w:ascii="Times New Roman" w:hAnsi="Times New Roman" w:cs="Times New Roman"/>
        </w:rPr>
      </w:pPr>
      <w:r>
        <w:rPr>
          <w:rFonts w:ascii="Times New Roman" w:hAnsi="Times New Roman" w:cs="Times New Roman"/>
        </w:rPr>
        <w:t xml:space="preserve">gabinety lekarzy specjalistów świadczących usługi w prawie wszystkich dziedzinach medycznych. </w:t>
      </w:r>
    </w:p>
    <w:p w:rsidR="00DC75FA" w:rsidRDefault="00887D84">
      <w:pPr>
        <w:jc w:val="both"/>
        <w:rPr>
          <w:rFonts w:ascii="Times New Roman" w:hAnsi="Times New Roman" w:cs="Times New Roman"/>
          <w:highlight w:val="yellow"/>
        </w:rPr>
      </w:pPr>
      <w:r>
        <w:rPr>
          <w:rFonts w:ascii="Times New Roman" w:hAnsi="Times New Roman" w:cs="Times New Roman"/>
        </w:rPr>
        <w:t>Najbliższe szpitale znajdują się w miejscowościach Włodawa, Łęczna, Chełm oraz Lublin.</w:t>
      </w:r>
    </w:p>
    <w:p w:rsidR="00DC75FA" w:rsidRDefault="00887D84">
      <w:pPr>
        <w:ind w:firstLine="567"/>
        <w:jc w:val="both"/>
        <w:rPr>
          <w:rFonts w:ascii="Times New Roman" w:hAnsi="Times New Roman" w:cs="Times New Roman"/>
        </w:rPr>
      </w:pPr>
      <w:r>
        <w:rPr>
          <w:rFonts w:ascii="Times New Roman" w:hAnsi="Times New Roman" w:cs="Times New Roman"/>
        </w:rPr>
        <w:t xml:space="preserve">W analizowanym okresie liczba porad lekarskich udzielanych w ramach podstawowej i ambulatoryjnej opieki zdrowotnej na terenie OF wzrosła od 63 803 w 2015 r. do 73 198 w 2019 r. Najmniej porad udzielono w 2017 r. – wówczas ich liczba wyniosła 61 696. Biorąc pod uwagę liczbę mieszkańców OF wynik ten oznaczał średnio 2 porady przypadające na jednego mieszkańca. </w:t>
      </w:r>
    </w:p>
    <w:p w:rsidR="00DC75FA" w:rsidRDefault="00887D84">
      <w:pPr>
        <w:pStyle w:val="aaapodpis"/>
        <w:spacing w:line="276" w:lineRule="auto"/>
      </w:pPr>
      <w:bookmarkStart w:id="175" w:name="_Toc75899527"/>
      <w:r>
        <w:lastRenderedPageBreak/>
        <w:t xml:space="preserve">Wykres </w:t>
      </w:r>
      <w:r>
        <w:fldChar w:fldCharType="begin"/>
      </w:r>
      <w:r>
        <w:instrText>SEQ Wykres \* ARABIC</w:instrText>
      </w:r>
      <w:r>
        <w:fldChar w:fldCharType="separate"/>
      </w:r>
      <w:r>
        <w:t>30</w:t>
      </w:r>
      <w:r>
        <w:fldChar w:fldCharType="end"/>
      </w:r>
      <w:r>
        <w:t>: Porady lekarskie w ramach podstawowej i ambulatoryjnej opieki zdrowotnej na terenie OF w latach 2015-2019</w:t>
      </w:r>
      <w:bookmarkEnd w:id="175"/>
    </w:p>
    <w:p w:rsidR="00DC75FA" w:rsidRDefault="00887D84">
      <w:pPr>
        <w:pStyle w:val="aaardo"/>
      </w:pPr>
      <w:r>
        <w:rPr>
          <w:noProof/>
          <w:lang w:eastAsia="pl-PL"/>
        </w:rPr>
        <w:drawing>
          <wp:inline distT="0" distB="0" distL="0" distR="0">
            <wp:extent cx="6119495" cy="1876425"/>
            <wp:effectExtent l="0" t="0" r="0" b="0"/>
            <wp:docPr id="111" name="Wykres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t xml:space="preserve"> </w:t>
      </w:r>
    </w:p>
    <w:p w:rsidR="00DC75FA" w:rsidRDefault="00887D84">
      <w:pPr>
        <w:pStyle w:val="aaardo"/>
      </w:pPr>
      <w:bookmarkStart w:id="176" w:name="_Hlk33616593"/>
      <w:r>
        <w:t xml:space="preserve">Źródło: </w:t>
      </w:r>
      <w:bookmarkEnd w:id="176"/>
      <w:r>
        <w:t>opracowanie własne na podstawie danych GUS – Bank Danych Lokalnych.</w:t>
      </w:r>
    </w:p>
    <w:p w:rsidR="00DC75FA" w:rsidRDefault="00887D84">
      <w:pPr>
        <w:ind w:firstLine="567"/>
        <w:jc w:val="both"/>
        <w:rPr>
          <w:rFonts w:ascii="Times New Roman" w:hAnsi="Times New Roman" w:cs="Times New Roman"/>
        </w:rPr>
      </w:pPr>
      <w:r>
        <w:rPr>
          <w:rFonts w:ascii="Times New Roman" w:hAnsi="Times New Roman" w:cs="Times New Roman"/>
        </w:rPr>
        <w:t>W analizowanym okresie w Gminie Milejów nie odnotowano większych zmian w ilości udzielonych porad. Ich liczba oscylowała w granicach 35 tys. W Gminie Urszulin liczba porad w 2019 r. wyniosła 33 431 i była większa niż w 2015 r. o ponad 3 000 porad. W Gminie Cyców odnotowano największy wzrost udzielonych porad między rokiem 2015 a 2019 (w 2019 r. o 6 089 porad więcej niż w 2015 r.). W Gminie Ludwin w analizowanym okresie w 2019 r. udzielono najwięcej tj. 20 031 porad (2015 r. – 19 396).</w:t>
      </w:r>
    </w:p>
    <w:p w:rsidR="00DC75FA" w:rsidRDefault="00887D84">
      <w:pPr>
        <w:pStyle w:val="aaapodpis"/>
        <w:spacing w:line="276" w:lineRule="auto"/>
      </w:pPr>
      <w:bookmarkStart w:id="177" w:name="_Toc75899528"/>
      <w:r>
        <w:t xml:space="preserve">Wykres </w:t>
      </w:r>
      <w:r>
        <w:fldChar w:fldCharType="begin"/>
      </w:r>
      <w:r>
        <w:instrText>SEQ Wykres \* ARABIC</w:instrText>
      </w:r>
      <w:r>
        <w:fldChar w:fldCharType="separate"/>
      </w:r>
      <w:r>
        <w:t>31</w:t>
      </w:r>
      <w:r>
        <w:fldChar w:fldCharType="end"/>
      </w:r>
      <w:r>
        <w:t>3: Porady lekarskie w ramach podstawowej i ambulatoryjnej opieki zdrowotnej w poszczególnych JST OF w latach 2015-2019</w:t>
      </w:r>
      <w:bookmarkEnd w:id="177"/>
    </w:p>
    <w:p w:rsidR="00DC75FA" w:rsidRDefault="00887D84">
      <w:pPr>
        <w:pStyle w:val="aaardo"/>
      </w:pPr>
      <w:r>
        <w:rPr>
          <w:noProof/>
          <w:lang w:eastAsia="pl-PL"/>
        </w:rPr>
        <w:drawing>
          <wp:inline distT="0" distB="0" distL="0" distR="0">
            <wp:extent cx="6120130" cy="1825625"/>
            <wp:effectExtent l="0" t="0" r="0" b="0"/>
            <wp:docPr id="112" name="Wykres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t xml:space="preserve"> Źródło: opracowanie własne na podstawie danych GUS – Bank Danych Lokalnych.</w:t>
      </w:r>
    </w:p>
    <w:p w:rsidR="00DC75FA" w:rsidRDefault="00887D84">
      <w:pPr>
        <w:ind w:firstLine="567"/>
        <w:jc w:val="both"/>
        <w:rPr>
          <w:rFonts w:ascii="Times New Roman" w:hAnsi="Times New Roman" w:cs="Times New Roman"/>
        </w:rPr>
      </w:pPr>
      <w:bookmarkStart w:id="178" w:name="_Hlk33620679"/>
      <w:bookmarkStart w:id="179" w:name="_Hlk51600906"/>
      <w:r>
        <w:rPr>
          <w:rFonts w:ascii="Times New Roman" w:hAnsi="Times New Roman" w:cs="Times New Roman"/>
        </w:rPr>
        <w:t>Każda JST wchodząca w skład OF prowadzi Ośrodek Pomocy Społecznej, realizujący zadania z zakresu pomocy społecznej</w:t>
      </w:r>
      <w:bookmarkEnd w:id="178"/>
      <w:r>
        <w:rPr>
          <w:rFonts w:ascii="Times New Roman" w:hAnsi="Times New Roman" w:cs="Times New Roman"/>
        </w:rPr>
        <w:t>. Ośrodki są jednostkami organizacyjnymi wykonującymi zadania z zakresu pomocy społecznej na podstawie ustawy o pomocy społecznej</w:t>
      </w:r>
      <w:bookmarkEnd w:id="179"/>
      <w:r>
        <w:rPr>
          <w:rStyle w:val="Zakotwiczenieprzypisudolnego"/>
          <w:rFonts w:ascii="Times New Roman" w:hAnsi="Times New Roman" w:cs="Times New Roman"/>
        </w:rPr>
        <w:footnoteReference w:id="7"/>
      </w:r>
      <w:r>
        <w:rPr>
          <w:rFonts w:ascii="Times New Roman" w:hAnsi="Times New Roman" w:cs="Times New Roman"/>
        </w:rPr>
        <w:t>.</w:t>
      </w:r>
    </w:p>
    <w:p w:rsidR="00DC75FA" w:rsidRDefault="00887D84">
      <w:pPr>
        <w:ind w:firstLine="567"/>
        <w:jc w:val="both"/>
        <w:rPr>
          <w:rFonts w:ascii="Times New Roman" w:hAnsi="Times New Roman" w:cs="Times New Roman"/>
        </w:rPr>
      </w:pPr>
      <w:r>
        <w:rPr>
          <w:rFonts w:ascii="Times New Roman" w:hAnsi="Times New Roman" w:cs="Times New Roman"/>
        </w:rPr>
        <w:t>Pomoc społeczna ma na celu umożliwienie osobom i rodzinom przezwyciężenie trudnych sytuacji życiowych, których nie są one w stanie pokonać, wykorzystując własne uprawnienia, zasoby i możliwości. Pomoc społeczna wspiera osoby i rodziny w wysiłkach zmierzających do zaspokojenia niezbędnych potrzeb i umożliwia im życie w warunkach odpowiadających godności człowieka. Zadaniem pomocy społecznej jest zapobieganie trudnym sytuacjom życiowym przez podejmowanie działań zmierzających do usamodzielnienia osób i rodzin oraz ich integracji ze środowiskiem.</w:t>
      </w:r>
    </w:p>
    <w:p w:rsidR="00DC75FA" w:rsidRDefault="00887D84">
      <w:pPr>
        <w:spacing w:after="0"/>
        <w:ind w:firstLine="567"/>
        <w:jc w:val="both"/>
        <w:rPr>
          <w:rFonts w:ascii="Times New Roman" w:hAnsi="Times New Roman" w:cs="Times New Roman"/>
        </w:rPr>
      </w:pPr>
      <w:r>
        <w:rPr>
          <w:rFonts w:ascii="Times New Roman" w:hAnsi="Times New Roman" w:cs="Times New Roman"/>
        </w:rPr>
        <w:t>Pomocy społecznej udziela się osobom i rodzinom w szczególności z powodu:</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ubóstwa,</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sieroctwa,</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bezdomności,</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lastRenderedPageBreak/>
        <w:t>bezrobocia,</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niepełnosprawności,</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długotrwałej lub ciężkiej choroby,</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przemocy w rodzinie,</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potrzeby ochrony ofiar handlu ludźmi,</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potrzeby ochrony macierzyństwa lub wielodzietności,</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bezradności w sprawach opiekuńczo-wychowawczych i prowadzenia gospodarstwa domowego, zwłaszcza w rodzinach niepełnych lub wielodzietnych,</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trudności w integracji cudzoziemców, którzy uzyskali w RP status uchodźcy, ochronę uzupełniającą lub zezwolenie na pobyt czasowy,</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trudności w przystosowaniu do życia po zwolnieniu z zakładu karnego,</w:t>
      </w:r>
    </w:p>
    <w:p w:rsidR="00DC75FA" w:rsidRDefault="00887D84">
      <w:pPr>
        <w:pStyle w:val="Akapitzlist"/>
        <w:numPr>
          <w:ilvl w:val="0"/>
          <w:numId w:val="30"/>
        </w:numPr>
        <w:spacing w:after="0" w:line="276" w:lineRule="auto"/>
        <w:jc w:val="both"/>
        <w:rPr>
          <w:rFonts w:ascii="Times New Roman" w:hAnsi="Times New Roman" w:cs="Times New Roman"/>
        </w:rPr>
      </w:pPr>
      <w:r>
        <w:rPr>
          <w:rFonts w:ascii="Times New Roman" w:hAnsi="Times New Roman" w:cs="Times New Roman"/>
        </w:rPr>
        <w:t>alkoholizmu lub narkomanii,</w:t>
      </w:r>
    </w:p>
    <w:p w:rsidR="00DC75FA" w:rsidRDefault="00887D84">
      <w:pPr>
        <w:pStyle w:val="Akapitzlist"/>
        <w:numPr>
          <w:ilvl w:val="0"/>
          <w:numId w:val="30"/>
        </w:numPr>
        <w:spacing w:after="120" w:line="276" w:lineRule="auto"/>
        <w:jc w:val="both"/>
        <w:rPr>
          <w:rFonts w:ascii="Times New Roman" w:hAnsi="Times New Roman" w:cs="Times New Roman"/>
        </w:rPr>
      </w:pPr>
      <w:r>
        <w:rPr>
          <w:rFonts w:ascii="Times New Roman" w:hAnsi="Times New Roman" w:cs="Times New Roman"/>
        </w:rPr>
        <w:t>zdarzenia losowego i sytuacji kryzysowej,</w:t>
      </w:r>
    </w:p>
    <w:p w:rsidR="00DC75FA" w:rsidRDefault="00887D84">
      <w:pPr>
        <w:pStyle w:val="Akapitzlist"/>
        <w:numPr>
          <w:ilvl w:val="0"/>
          <w:numId w:val="30"/>
        </w:numPr>
        <w:spacing w:after="120" w:line="276" w:lineRule="auto"/>
        <w:jc w:val="both"/>
        <w:rPr>
          <w:rFonts w:ascii="Times New Roman" w:hAnsi="Times New Roman" w:cs="Times New Roman"/>
        </w:rPr>
      </w:pPr>
      <w:r>
        <w:rPr>
          <w:rFonts w:ascii="Times New Roman" w:hAnsi="Times New Roman" w:cs="Times New Roman"/>
        </w:rPr>
        <w:t>klęski żywiołowej lub ekologicznej,</w:t>
      </w:r>
    </w:p>
    <w:p w:rsidR="00DC75FA" w:rsidRDefault="00887D84">
      <w:pPr>
        <w:pStyle w:val="Akapitzlist"/>
        <w:numPr>
          <w:ilvl w:val="0"/>
          <w:numId w:val="30"/>
        </w:numPr>
        <w:spacing w:after="120" w:line="276" w:lineRule="auto"/>
        <w:jc w:val="both"/>
        <w:rPr>
          <w:rFonts w:ascii="Times New Roman" w:hAnsi="Times New Roman" w:cs="Times New Roman"/>
        </w:rPr>
      </w:pPr>
      <w:r>
        <w:rPr>
          <w:rFonts w:ascii="Times New Roman" w:hAnsi="Times New Roman" w:cs="Times New Roman"/>
        </w:rPr>
        <w:t>trudności w przystosowaniu do życia po zwolnieniu z zakładu karnego.</w:t>
      </w:r>
    </w:p>
    <w:p w:rsidR="00DC75FA" w:rsidRDefault="00887D84">
      <w:pPr>
        <w:spacing w:after="0"/>
        <w:ind w:firstLine="567"/>
        <w:jc w:val="both"/>
        <w:rPr>
          <w:rFonts w:ascii="Times New Roman" w:hAnsi="Times New Roman" w:cs="Times New Roman"/>
        </w:rPr>
      </w:pPr>
      <w:r>
        <w:rPr>
          <w:rFonts w:ascii="Times New Roman" w:hAnsi="Times New Roman" w:cs="Times New Roman"/>
        </w:rPr>
        <w:t>Prawo do świadczeń pieniężnych z pomocy społecznej przysługuje osobom i rodzinom, znajdującym się w trudnej sytuacji życiowej przy jednoczesnym wystąpieniu co najmniej jednej z wymienionych wyżej okoliczności, których dochód nie przekracza kwoty kryterium dochodowego, tj.:</w:t>
      </w:r>
    </w:p>
    <w:p w:rsidR="00DC75FA" w:rsidRDefault="00887D84">
      <w:pPr>
        <w:pStyle w:val="Akapitzlist"/>
        <w:numPr>
          <w:ilvl w:val="0"/>
          <w:numId w:val="31"/>
        </w:numPr>
        <w:spacing w:after="120" w:line="276" w:lineRule="auto"/>
        <w:jc w:val="both"/>
        <w:rPr>
          <w:rFonts w:ascii="Times New Roman" w:hAnsi="Times New Roman" w:cs="Times New Roman"/>
        </w:rPr>
      </w:pPr>
      <w:r>
        <w:rPr>
          <w:rFonts w:ascii="Times New Roman" w:hAnsi="Times New Roman" w:cs="Times New Roman"/>
        </w:rPr>
        <w:t>dla osoby samotnie gospodarującej 701 zł;</w:t>
      </w:r>
    </w:p>
    <w:p w:rsidR="00DC75FA" w:rsidRDefault="00887D84">
      <w:pPr>
        <w:pStyle w:val="Akapitzlist"/>
        <w:numPr>
          <w:ilvl w:val="0"/>
          <w:numId w:val="31"/>
        </w:numPr>
        <w:spacing w:after="120" w:line="276" w:lineRule="auto"/>
        <w:jc w:val="both"/>
        <w:rPr>
          <w:rFonts w:ascii="Times New Roman" w:hAnsi="Times New Roman" w:cs="Times New Roman"/>
        </w:rPr>
      </w:pPr>
      <w:r>
        <w:rPr>
          <w:rFonts w:ascii="Times New Roman" w:hAnsi="Times New Roman" w:cs="Times New Roman"/>
        </w:rPr>
        <w:t xml:space="preserve">dla osoby w rodzinie 528 zł. </w:t>
      </w:r>
    </w:p>
    <w:p w:rsidR="00DC75FA" w:rsidRDefault="00887D84">
      <w:pPr>
        <w:jc w:val="both"/>
        <w:rPr>
          <w:rFonts w:ascii="Times New Roman" w:hAnsi="Times New Roman" w:cs="Times New Roman"/>
        </w:rPr>
      </w:pPr>
      <w:r>
        <w:rPr>
          <w:rFonts w:ascii="Times New Roman" w:hAnsi="Times New Roman" w:cs="Times New Roman"/>
        </w:rPr>
        <w:t>Zgodnie z ustawą o pomocy społecznej kryteria dochodowe podlegają weryfikacji co 3 lata.</w:t>
      </w:r>
    </w:p>
    <w:p w:rsidR="00DC75FA" w:rsidRDefault="00887D84">
      <w:pPr>
        <w:spacing w:before="240" w:after="0"/>
        <w:ind w:firstLine="567"/>
        <w:jc w:val="both"/>
        <w:rPr>
          <w:rFonts w:ascii="Times New Roman" w:hAnsi="Times New Roman" w:cs="Times New Roman"/>
        </w:rPr>
      </w:pPr>
      <w:r>
        <w:rPr>
          <w:rFonts w:ascii="Times New Roman" w:hAnsi="Times New Roman" w:cs="Times New Roman"/>
        </w:rPr>
        <w:t>Pomoc społeczna polega w szczególności na:</w:t>
      </w:r>
    </w:p>
    <w:p w:rsidR="00DC75FA" w:rsidRDefault="00887D84">
      <w:pPr>
        <w:pStyle w:val="Akapitzlist"/>
        <w:numPr>
          <w:ilvl w:val="0"/>
          <w:numId w:val="32"/>
        </w:numPr>
        <w:spacing w:after="120" w:line="276" w:lineRule="auto"/>
        <w:jc w:val="both"/>
        <w:rPr>
          <w:rFonts w:ascii="Times New Roman" w:hAnsi="Times New Roman" w:cs="Times New Roman"/>
        </w:rPr>
      </w:pPr>
      <w:r>
        <w:rPr>
          <w:rFonts w:ascii="Times New Roman" w:hAnsi="Times New Roman" w:cs="Times New Roman"/>
        </w:rPr>
        <w:t>przyznawaniu i wypłacaniu świadczeń (pieniężnych bądź niepieniężnych),</w:t>
      </w:r>
    </w:p>
    <w:p w:rsidR="00DC75FA" w:rsidRDefault="00887D84">
      <w:pPr>
        <w:pStyle w:val="Akapitzlist"/>
        <w:numPr>
          <w:ilvl w:val="0"/>
          <w:numId w:val="32"/>
        </w:numPr>
        <w:spacing w:after="120" w:line="276" w:lineRule="auto"/>
        <w:jc w:val="both"/>
        <w:rPr>
          <w:rFonts w:ascii="Times New Roman" w:hAnsi="Times New Roman" w:cs="Times New Roman"/>
        </w:rPr>
      </w:pPr>
      <w:r>
        <w:rPr>
          <w:rFonts w:ascii="Times New Roman" w:hAnsi="Times New Roman" w:cs="Times New Roman"/>
        </w:rPr>
        <w:t>pracy socjalnej,</w:t>
      </w:r>
    </w:p>
    <w:p w:rsidR="00DC75FA" w:rsidRDefault="00887D84">
      <w:pPr>
        <w:pStyle w:val="Akapitzlist"/>
        <w:numPr>
          <w:ilvl w:val="0"/>
          <w:numId w:val="32"/>
        </w:numPr>
        <w:spacing w:after="120" w:line="276" w:lineRule="auto"/>
        <w:jc w:val="both"/>
        <w:rPr>
          <w:rFonts w:ascii="Times New Roman" w:hAnsi="Times New Roman" w:cs="Times New Roman"/>
        </w:rPr>
      </w:pPr>
      <w:r>
        <w:rPr>
          <w:rFonts w:ascii="Times New Roman" w:hAnsi="Times New Roman" w:cs="Times New Roman"/>
        </w:rPr>
        <w:t>prowadzeniu i rozwoju niezbędnej infrastruktury socjalnej,</w:t>
      </w:r>
    </w:p>
    <w:p w:rsidR="00DC75FA" w:rsidRDefault="00887D84">
      <w:pPr>
        <w:pStyle w:val="Akapitzlist"/>
        <w:numPr>
          <w:ilvl w:val="0"/>
          <w:numId w:val="32"/>
        </w:numPr>
        <w:spacing w:after="120" w:line="276" w:lineRule="auto"/>
        <w:jc w:val="both"/>
        <w:rPr>
          <w:rFonts w:ascii="Times New Roman" w:hAnsi="Times New Roman" w:cs="Times New Roman"/>
        </w:rPr>
      </w:pPr>
      <w:r>
        <w:rPr>
          <w:rFonts w:ascii="Times New Roman" w:hAnsi="Times New Roman" w:cs="Times New Roman"/>
        </w:rPr>
        <w:t>realizacji zadań wynikających z rozeznanych potrzeb społecznych,</w:t>
      </w:r>
    </w:p>
    <w:p w:rsidR="00DC75FA" w:rsidRDefault="00887D84">
      <w:pPr>
        <w:pStyle w:val="Akapitzlist"/>
        <w:numPr>
          <w:ilvl w:val="0"/>
          <w:numId w:val="32"/>
        </w:numPr>
        <w:spacing w:after="120" w:line="276" w:lineRule="auto"/>
        <w:jc w:val="both"/>
        <w:rPr>
          <w:rFonts w:ascii="Times New Roman" w:hAnsi="Times New Roman" w:cs="Times New Roman"/>
        </w:rPr>
      </w:pPr>
      <w:r>
        <w:rPr>
          <w:rFonts w:ascii="Times New Roman" w:hAnsi="Times New Roman" w:cs="Times New Roman"/>
        </w:rPr>
        <w:t>analizie i ocenie zjawisk rodzących zapotrzebowanie na świadczenia z pomocy społecznej,</w:t>
      </w:r>
    </w:p>
    <w:p w:rsidR="00DC75FA" w:rsidRDefault="00887D84">
      <w:pPr>
        <w:pStyle w:val="Akapitzlist"/>
        <w:numPr>
          <w:ilvl w:val="0"/>
          <w:numId w:val="32"/>
        </w:numPr>
        <w:spacing w:after="120" w:line="276" w:lineRule="auto"/>
        <w:jc w:val="both"/>
        <w:rPr>
          <w:rFonts w:ascii="Times New Roman" w:hAnsi="Times New Roman" w:cs="Times New Roman"/>
        </w:rPr>
      </w:pPr>
      <w:r>
        <w:rPr>
          <w:rFonts w:ascii="Times New Roman" w:hAnsi="Times New Roman" w:cs="Times New Roman"/>
        </w:rPr>
        <w:t>rozwijaniu nowych form pomocy społecznej i samopomocy w ramach zidentyfikowanych potrzeb.</w:t>
      </w:r>
    </w:p>
    <w:p w:rsidR="00DC75FA" w:rsidRDefault="00887D84">
      <w:pPr>
        <w:spacing w:after="0"/>
        <w:ind w:firstLine="567"/>
        <w:jc w:val="both"/>
        <w:rPr>
          <w:rFonts w:ascii="Times New Roman" w:hAnsi="Times New Roman" w:cs="Times New Roman"/>
        </w:rPr>
      </w:pPr>
      <w:r>
        <w:rPr>
          <w:rFonts w:ascii="Times New Roman" w:hAnsi="Times New Roman" w:cs="Times New Roman"/>
        </w:rPr>
        <w:t>Świadczeniami z pomocy społecznej są świadczenia pieniężne i niepieniężne.</w:t>
      </w:r>
    </w:p>
    <w:p w:rsidR="00DC75FA" w:rsidRDefault="00887D84">
      <w:pPr>
        <w:pStyle w:val="Akapitzlist"/>
        <w:spacing w:after="120" w:line="276" w:lineRule="auto"/>
        <w:ind w:left="426" w:hanging="426"/>
        <w:jc w:val="both"/>
        <w:rPr>
          <w:rFonts w:ascii="Times New Roman" w:hAnsi="Times New Roman" w:cs="Times New Roman"/>
        </w:rPr>
      </w:pPr>
      <w:r>
        <w:rPr>
          <w:rFonts w:ascii="Times New Roman" w:hAnsi="Times New Roman" w:cs="Times New Roman"/>
        </w:rPr>
        <w:t>świadczenia pieniężne to przede wszystkim:</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zasiłek stały,</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 xml:space="preserve">zasiłek okresowy, </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zasiłek celowy i specjalny zasiłek celowy,</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pomoc na ekonomiczne usamodzielnienie,</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świadczenie należne opiekunowi z tytułu sprawowania opieki przyznane przez sąd;</w:t>
      </w:r>
    </w:p>
    <w:p w:rsidR="00DC75FA" w:rsidRDefault="00887D84">
      <w:pPr>
        <w:pStyle w:val="Akapitzlist"/>
        <w:spacing w:after="120" w:line="276" w:lineRule="auto"/>
        <w:ind w:left="426" w:hanging="426"/>
        <w:jc w:val="both"/>
        <w:rPr>
          <w:rFonts w:ascii="Times New Roman" w:hAnsi="Times New Roman" w:cs="Times New Roman"/>
        </w:rPr>
      </w:pPr>
      <w:r>
        <w:rPr>
          <w:rFonts w:ascii="Times New Roman" w:hAnsi="Times New Roman" w:cs="Times New Roman"/>
        </w:rPr>
        <w:t>świadczenia niepieniężne to głównie:</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praca socjalna,</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poradnictwo,</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bilet kredytowany,</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posiłek,</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usługi opiekuńcze w miejscu zamieszkania,</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składki na ubezpieczenie zdrowotne,</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 xml:space="preserve">sprawienie pogrzebu, </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udzielenie schronienia,</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kierowanie do domu pomocy społecznej,</w:t>
      </w:r>
    </w:p>
    <w:p w:rsidR="00DC75FA" w:rsidRDefault="00887D84">
      <w:pPr>
        <w:pStyle w:val="Akapitzlist"/>
        <w:numPr>
          <w:ilvl w:val="0"/>
          <w:numId w:val="32"/>
        </w:numPr>
        <w:spacing w:after="120" w:line="276" w:lineRule="auto"/>
        <w:ind w:left="851"/>
        <w:jc w:val="both"/>
        <w:rPr>
          <w:rFonts w:ascii="Times New Roman" w:hAnsi="Times New Roman" w:cs="Times New Roman"/>
        </w:rPr>
      </w:pPr>
      <w:r>
        <w:rPr>
          <w:rFonts w:ascii="Times New Roman" w:hAnsi="Times New Roman" w:cs="Times New Roman"/>
        </w:rPr>
        <w:t>niezbędne ubranie.</w:t>
      </w:r>
    </w:p>
    <w:p w:rsidR="00DC75FA" w:rsidRDefault="00887D84">
      <w:pPr>
        <w:ind w:firstLine="567"/>
        <w:jc w:val="both"/>
        <w:rPr>
          <w:rFonts w:ascii="Times New Roman" w:hAnsi="Times New Roman" w:cs="Times New Roman"/>
        </w:rPr>
      </w:pPr>
      <w:r>
        <w:rPr>
          <w:rFonts w:ascii="Times New Roman" w:hAnsi="Times New Roman" w:cs="Times New Roman"/>
        </w:rPr>
        <w:lastRenderedPageBreak/>
        <w:t>Podstawowym aktem prawnym w oparciu, o który GOPS realizuje swoje zadania jest ustawa o pomocy społecznej, określająca zadania, formy świadczeń i zasady ich przyznawania. Ustawa o pomocy społecznej nakłada na gminę obowiązek udzielenia pomocy osobom i rodzinom znajdującym się w trudnej sytuacji życiowej. Pomoc społeczna może być świadczona w formie pieniężnej i niepieniężnej, a podstawą przyznania pomocy – niezależnie od formy – jest przeprowadzony wywiad środowiskowy w miejscu zamieszkania i wydanie na tej podstawie stosownej decyzji administracyjnej.</w:t>
      </w:r>
    </w:p>
    <w:p w:rsidR="00DC75FA" w:rsidRDefault="00887D84">
      <w:pPr>
        <w:jc w:val="both"/>
        <w:rPr>
          <w:rFonts w:ascii="Times New Roman" w:hAnsi="Times New Roman" w:cs="Times New Roman"/>
        </w:rPr>
      </w:pPr>
      <w:r>
        <w:rPr>
          <w:rFonts w:ascii="Times New Roman" w:hAnsi="Times New Roman" w:cs="Times New Roman"/>
        </w:rPr>
        <w:t>Gminy współpracujące w ramach obszaru współpracy ponadlokalnej Zielone Zagłębie należą raczej do grupy rozwiniętych i bogatszych gmin województwa lubelskiego. Jakkolwiek zjawisko wykluczenia obecne jest również wśród mieszkańców obszaru – co prawda w rankingu gmin w województwie pod względem beneficjentów środowiskowej pomocy Gmina Ludwin jest dopiero na 90 miejscu a gmina Urszulin aż na 200 miejscu (dane za rok 2019), to jednak poziom ten jest wciąż wysoki – zwłaszcza, że całe województwo lubelskie zalicza się do najbiedniejszych województw w Polsce (i w Unii Europejskiej).</w:t>
      </w:r>
    </w:p>
    <w:p w:rsidR="00DC75FA" w:rsidRDefault="00887D84">
      <w:pPr>
        <w:pStyle w:val="aaapodpis"/>
      </w:pPr>
      <w:bookmarkStart w:id="180" w:name="_Toc75899296"/>
      <w:r>
        <w:t xml:space="preserve">Tabela </w:t>
      </w:r>
      <w:r>
        <w:fldChar w:fldCharType="begin"/>
      </w:r>
      <w:r>
        <w:instrText>SEQ Tabela \* ARABIC</w:instrText>
      </w:r>
      <w:r>
        <w:fldChar w:fldCharType="separate"/>
      </w:r>
      <w:r>
        <w:t>13</w:t>
      </w:r>
      <w:r>
        <w:fldChar w:fldCharType="end"/>
      </w:r>
      <w:r>
        <w:t xml:space="preserve"> Beneficjenci środowiskowej pomocy społecznej - wskaźniki</w:t>
      </w:r>
      <w:bookmarkEnd w:id="180"/>
    </w:p>
    <w:tbl>
      <w:tblPr>
        <w:tblW w:w="9278" w:type="dxa"/>
        <w:tblCellMar>
          <w:left w:w="70" w:type="dxa"/>
          <w:right w:w="70" w:type="dxa"/>
        </w:tblCellMar>
        <w:tblLook w:val="04A0" w:firstRow="1" w:lastRow="0" w:firstColumn="1" w:lastColumn="0" w:noHBand="0" w:noVBand="1"/>
      </w:tblPr>
      <w:tblGrid>
        <w:gridCol w:w="1139"/>
        <w:gridCol w:w="1480"/>
        <w:gridCol w:w="1912"/>
        <w:gridCol w:w="2126"/>
        <w:gridCol w:w="2621"/>
      </w:tblGrid>
      <w:tr w:rsidR="00DC75FA">
        <w:trPr>
          <w:trHeight w:val="1094"/>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w:t>
            </w:r>
          </w:p>
        </w:tc>
        <w:tc>
          <w:tcPr>
            <w:tcW w:w="1480" w:type="dxa"/>
            <w:tcBorders>
              <w:top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beneficjenci środowiskowej pomocy społecznej na 10 000 </w:t>
            </w:r>
            <w:proofErr w:type="spellStart"/>
            <w:r>
              <w:rPr>
                <w:rFonts w:ascii="Times New Roman" w:eastAsia="Times New Roman" w:hAnsi="Times New Roman" w:cs="Times New Roman"/>
                <w:color w:val="000000"/>
                <w:sz w:val="18"/>
                <w:szCs w:val="18"/>
                <w:lang w:eastAsia="pl-PL"/>
              </w:rPr>
              <w:t>mszk</w:t>
            </w:r>
            <w:proofErr w:type="spellEnd"/>
            <w:r>
              <w:rPr>
                <w:rFonts w:ascii="Times New Roman" w:eastAsia="Times New Roman" w:hAnsi="Times New Roman" w:cs="Times New Roman"/>
                <w:color w:val="000000"/>
                <w:sz w:val="18"/>
                <w:szCs w:val="18"/>
                <w:lang w:eastAsia="pl-PL"/>
              </w:rPr>
              <w:t>.</w:t>
            </w:r>
          </w:p>
        </w:tc>
        <w:tc>
          <w:tcPr>
            <w:tcW w:w="1912" w:type="dxa"/>
            <w:tcBorders>
              <w:top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gospodarstwa domowe korzystające z pomocy środowiskowej</w:t>
            </w:r>
          </w:p>
        </w:tc>
        <w:tc>
          <w:tcPr>
            <w:tcW w:w="2126" w:type="dxa"/>
            <w:tcBorders>
              <w:top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gospodarstwa domowe korzystające z pomocy środowiskowej poniżej progu dochodowego</w:t>
            </w:r>
          </w:p>
        </w:tc>
        <w:tc>
          <w:tcPr>
            <w:tcW w:w="2621" w:type="dxa"/>
            <w:tcBorders>
              <w:top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 xml:space="preserve">udział rodzin poniżej progu dochodowego w grupie rodzin wspieranych w ramach pomocy środowiskowej </w:t>
            </w:r>
          </w:p>
        </w:tc>
      </w:tr>
      <w:tr w:rsidR="00DC75FA">
        <w:trPr>
          <w:trHeight w:val="300"/>
        </w:trPr>
        <w:tc>
          <w:tcPr>
            <w:tcW w:w="1139" w:type="dxa"/>
            <w:tcBorders>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Ludwin</w:t>
            </w:r>
          </w:p>
        </w:tc>
        <w:tc>
          <w:tcPr>
            <w:tcW w:w="1480"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744</w:t>
            </w:r>
          </w:p>
        </w:tc>
        <w:tc>
          <w:tcPr>
            <w:tcW w:w="1912"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158</w:t>
            </w:r>
          </w:p>
        </w:tc>
        <w:tc>
          <w:tcPr>
            <w:tcW w:w="2126"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88</w:t>
            </w:r>
          </w:p>
        </w:tc>
        <w:tc>
          <w:tcPr>
            <w:tcW w:w="2621"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55,70%</w:t>
            </w:r>
          </w:p>
        </w:tc>
      </w:tr>
      <w:tr w:rsidR="00DC75FA">
        <w:trPr>
          <w:trHeight w:val="300"/>
        </w:trPr>
        <w:tc>
          <w:tcPr>
            <w:tcW w:w="1139" w:type="dxa"/>
            <w:tcBorders>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Milejów</w:t>
            </w:r>
          </w:p>
        </w:tc>
        <w:tc>
          <w:tcPr>
            <w:tcW w:w="1480"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591</w:t>
            </w:r>
          </w:p>
        </w:tc>
        <w:tc>
          <w:tcPr>
            <w:tcW w:w="1912"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221</w:t>
            </w:r>
          </w:p>
        </w:tc>
        <w:tc>
          <w:tcPr>
            <w:tcW w:w="2126"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158</w:t>
            </w:r>
          </w:p>
        </w:tc>
        <w:tc>
          <w:tcPr>
            <w:tcW w:w="2621"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71,49%</w:t>
            </w:r>
          </w:p>
        </w:tc>
      </w:tr>
      <w:tr w:rsidR="00DC75FA">
        <w:trPr>
          <w:trHeight w:val="300"/>
        </w:trPr>
        <w:tc>
          <w:tcPr>
            <w:tcW w:w="1139" w:type="dxa"/>
            <w:tcBorders>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Cyców</w:t>
            </w:r>
          </w:p>
        </w:tc>
        <w:tc>
          <w:tcPr>
            <w:tcW w:w="1480"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494</w:t>
            </w:r>
          </w:p>
        </w:tc>
        <w:tc>
          <w:tcPr>
            <w:tcW w:w="1912"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152</w:t>
            </w:r>
          </w:p>
        </w:tc>
        <w:tc>
          <w:tcPr>
            <w:tcW w:w="2126"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112</w:t>
            </w:r>
          </w:p>
        </w:tc>
        <w:tc>
          <w:tcPr>
            <w:tcW w:w="2621"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73,68%</w:t>
            </w:r>
          </w:p>
        </w:tc>
      </w:tr>
      <w:tr w:rsidR="00DC75FA">
        <w:trPr>
          <w:trHeight w:val="300"/>
        </w:trPr>
        <w:tc>
          <w:tcPr>
            <w:tcW w:w="1139" w:type="dxa"/>
            <w:tcBorders>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Puchaczów</w:t>
            </w:r>
          </w:p>
        </w:tc>
        <w:tc>
          <w:tcPr>
            <w:tcW w:w="1480"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345</w:t>
            </w:r>
          </w:p>
        </w:tc>
        <w:tc>
          <w:tcPr>
            <w:tcW w:w="1912"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93</w:t>
            </w:r>
          </w:p>
        </w:tc>
        <w:tc>
          <w:tcPr>
            <w:tcW w:w="2126"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42</w:t>
            </w:r>
          </w:p>
        </w:tc>
        <w:tc>
          <w:tcPr>
            <w:tcW w:w="2621"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45,16%</w:t>
            </w:r>
          </w:p>
        </w:tc>
      </w:tr>
      <w:tr w:rsidR="00DC75FA">
        <w:trPr>
          <w:trHeight w:val="300"/>
        </w:trPr>
        <w:tc>
          <w:tcPr>
            <w:tcW w:w="1139" w:type="dxa"/>
            <w:tcBorders>
              <w:left w:val="single" w:sz="4" w:space="0" w:color="000000"/>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Urszulin</w:t>
            </w:r>
          </w:p>
        </w:tc>
        <w:tc>
          <w:tcPr>
            <w:tcW w:w="1480"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229</w:t>
            </w:r>
          </w:p>
        </w:tc>
        <w:tc>
          <w:tcPr>
            <w:tcW w:w="1912"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56</w:t>
            </w:r>
          </w:p>
        </w:tc>
        <w:tc>
          <w:tcPr>
            <w:tcW w:w="2126" w:type="dxa"/>
            <w:tcBorders>
              <w:bottom w:val="single" w:sz="4" w:space="0" w:color="000000"/>
              <w:right w:val="single" w:sz="4" w:space="0" w:color="000000"/>
            </w:tcBorders>
            <w:shd w:val="clear" w:color="FFFFFF" w:fill="FFFFFF"/>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39</w:t>
            </w:r>
          </w:p>
        </w:tc>
        <w:tc>
          <w:tcPr>
            <w:tcW w:w="2621" w:type="dxa"/>
            <w:tcBorders>
              <w:bottom w:val="single" w:sz="4" w:space="0" w:color="000000"/>
              <w:right w:val="single" w:sz="4" w:space="0" w:color="000000"/>
            </w:tcBorders>
            <w:shd w:val="clear" w:color="auto" w:fill="auto"/>
            <w:vAlign w:val="center"/>
          </w:tcPr>
          <w:p w:rsidR="00DC75FA" w:rsidRDefault="00887D84">
            <w:pPr>
              <w:spacing w:after="0" w:line="240" w:lineRule="auto"/>
              <w:jc w:val="center"/>
              <w:rPr>
                <w:rFonts w:ascii="Times New Roman" w:eastAsia="Times New Roman" w:hAnsi="Times New Roman" w:cs="Times New Roman"/>
                <w:color w:val="000000"/>
                <w:sz w:val="18"/>
                <w:szCs w:val="18"/>
                <w:lang w:eastAsia="pl-PL"/>
              </w:rPr>
            </w:pPr>
            <w:r>
              <w:rPr>
                <w:rFonts w:ascii="Times New Roman" w:eastAsia="Times New Roman" w:hAnsi="Times New Roman" w:cs="Times New Roman"/>
                <w:color w:val="000000"/>
                <w:sz w:val="18"/>
                <w:szCs w:val="18"/>
                <w:lang w:eastAsia="pl-PL"/>
              </w:rPr>
              <w:t>69,64%</w:t>
            </w:r>
          </w:p>
        </w:tc>
      </w:tr>
    </w:tbl>
    <w:p w:rsidR="00DC75FA" w:rsidRDefault="00887D84">
      <w:pPr>
        <w:pStyle w:val="Legenda"/>
        <w:rPr>
          <w:rFonts w:ascii="Times New Roman" w:hAnsi="Times New Roman" w:cs="Times New Roman"/>
        </w:rPr>
      </w:pPr>
      <w:r>
        <w:rPr>
          <w:rFonts w:ascii="Times New Roman" w:hAnsi="Times New Roman" w:cs="Times New Roman"/>
        </w:rPr>
        <w:t>Źródło: Opracowanie własne na podstawie danych Urzędu Statystycznego.</w:t>
      </w:r>
    </w:p>
    <w:p w:rsidR="00DC75FA" w:rsidRDefault="00887D84">
      <w:pPr>
        <w:pStyle w:val="Bezodstpw"/>
        <w:numPr>
          <w:ilvl w:val="2"/>
          <w:numId w:val="25"/>
        </w:numPr>
        <w:spacing w:before="240" w:after="240" w:line="276" w:lineRule="auto"/>
        <w:contextualSpacing/>
        <w:jc w:val="both"/>
        <w:outlineLvl w:val="3"/>
        <w:rPr>
          <w:rFonts w:ascii="Times New Roman" w:hAnsi="Times New Roman" w:cs="Times New Roman"/>
          <w:b/>
          <w:color w:val="5B9BD5" w:themeColor="accent1"/>
          <w:sz w:val="24"/>
          <w:szCs w:val="24"/>
        </w:rPr>
      </w:pPr>
      <w:bookmarkStart w:id="181" w:name="_Toc116896689"/>
      <w:r>
        <w:rPr>
          <w:rFonts w:ascii="Times New Roman" w:hAnsi="Times New Roman" w:cs="Times New Roman"/>
          <w:b/>
          <w:color w:val="5B9BD5" w:themeColor="accent1"/>
          <w:sz w:val="24"/>
          <w:szCs w:val="24"/>
        </w:rPr>
        <w:t>Bezpieczeństwo</w:t>
      </w:r>
      <w:bookmarkEnd w:id="181"/>
    </w:p>
    <w:p w:rsidR="00DC75FA" w:rsidRDefault="00887D84">
      <w:pPr>
        <w:spacing w:after="0"/>
        <w:ind w:firstLine="567"/>
        <w:jc w:val="both"/>
        <w:rPr>
          <w:rFonts w:ascii="Times New Roman" w:hAnsi="Times New Roman" w:cs="Times New Roman"/>
        </w:rPr>
      </w:pPr>
      <w:bookmarkStart w:id="182" w:name="_Hlk51600925"/>
      <w:r>
        <w:rPr>
          <w:rFonts w:ascii="Times New Roman" w:hAnsi="Times New Roman" w:cs="Times New Roman"/>
        </w:rPr>
        <w:t>Jednostki samorządu terytorialnego wchodzące w skład OF podlegają pod zasięg działania Komendy Powiatowej Policji w Łęcznej (Gmina Cyców, Gmina Ludwin, Gmina Milejów oraz Gmina Puchaczów) i Komendy Powiatowej Policji we Włodawie (Gmina Urszulin).</w:t>
      </w:r>
      <w:bookmarkEnd w:id="182"/>
    </w:p>
    <w:p w:rsidR="00DC75FA" w:rsidRDefault="00887D84">
      <w:pPr>
        <w:ind w:firstLine="567"/>
        <w:jc w:val="both"/>
        <w:rPr>
          <w:rFonts w:ascii="Times New Roman" w:hAnsi="Times New Roman" w:cs="Times New Roman"/>
        </w:rPr>
      </w:pPr>
      <w:r>
        <w:rPr>
          <w:rFonts w:ascii="Times New Roman" w:hAnsi="Times New Roman" w:cs="Times New Roman"/>
        </w:rPr>
        <w:t xml:space="preserve">Zasadniczym zadaniem policji jest zapobieganie, zwalczanie i ograniczanie przestępczości. KPP realizują zadania uwzględniając podstawowe zagrożenia na podległym terenie, zakładające ograniczenie dynamiki popełnianych przestępstw przy jednoczesnym zwiększaniu ich wykrywalności. </w:t>
      </w:r>
    </w:p>
    <w:p w:rsidR="00DC75FA" w:rsidRDefault="00887D84">
      <w:pPr>
        <w:ind w:firstLine="567"/>
        <w:jc w:val="both"/>
        <w:rPr>
          <w:rFonts w:ascii="Times New Roman" w:hAnsi="Times New Roman" w:cs="Times New Roman"/>
        </w:rPr>
      </w:pPr>
      <w:r>
        <w:rPr>
          <w:rFonts w:ascii="Times New Roman" w:hAnsi="Times New Roman" w:cs="Times New Roman"/>
        </w:rPr>
        <w:t>Na stan bezpieczeństwa i porządku publicznego wpływa przede wszystkim poziom zagrożenia przestępczością, w tym przestępczością pospolitą, zagrożenie wykroczeniami (głównie przeciwko mieniu oraz porządkowi i spokojowi publicznemu), zagrożenie przestępstwami i wykroczeniami w ruchu drogowym, a także zakres występowania różnego rodzaju patologii społecznych. W poniższej tabeli zestawiono zagrożenie przestępczością w poszczególnych kategoriach przestępstw na terenie poszczególnych JST wchodzących w skład OF w 2019 r.</w:t>
      </w:r>
      <w:r>
        <w:rPr>
          <w:rFonts w:ascii="Times New Roman" w:hAnsi="Times New Roman" w:cs="Times New Roman"/>
          <w:highlight w:val="yellow"/>
        </w:rPr>
        <w:t xml:space="preserve"> </w:t>
      </w:r>
    </w:p>
    <w:p w:rsidR="00DC75FA" w:rsidRDefault="00887D84">
      <w:pPr>
        <w:pStyle w:val="aaapodpis"/>
        <w:spacing w:after="0" w:line="276" w:lineRule="auto"/>
      </w:pPr>
      <w:bookmarkStart w:id="183" w:name="_Hlk33620692"/>
      <w:bookmarkStart w:id="184" w:name="_Toc75899297"/>
      <w:bookmarkEnd w:id="183"/>
      <w:r>
        <w:t xml:space="preserve">Tabela </w:t>
      </w:r>
      <w:r>
        <w:fldChar w:fldCharType="begin"/>
      </w:r>
      <w:r>
        <w:instrText>SEQ Tabela \* ARABIC</w:instrText>
      </w:r>
      <w:r>
        <w:fldChar w:fldCharType="separate"/>
      </w:r>
      <w:r>
        <w:t>14</w:t>
      </w:r>
      <w:r>
        <w:fldChar w:fldCharType="end"/>
      </w:r>
      <w:r>
        <w:t>: Zagrożenie przestępczością na terenie JST wchodzących w skład OF w poszczególnych kategoriach w 2019 r.</w:t>
      </w:r>
      <w:bookmarkEnd w:id="184"/>
    </w:p>
    <w:tbl>
      <w:tblPr>
        <w:tblStyle w:val="Jasnecieniowanieakcent11"/>
        <w:tblW w:w="5000" w:type="pct"/>
        <w:tblLook w:val="04A0" w:firstRow="1" w:lastRow="0" w:firstColumn="1" w:lastColumn="0" w:noHBand="0" w:noVBand="1"/>
      </w:tblPr>
      <w:tblGrid>
        <w:gridCol w:w="3049"/>
        <w:gridCol w:w="1362"/>
        <w:gridCol w:w="1362"/>
        <w:gridCol w:w="1362"/>
        <w:gridCol w:w="1362"/>
        <w:gridCol w:w="1357"/>
      </w:tblGrid>
      <w:tr w:rsidR="00DC75FA" w:rsidTr="00DC75F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2" w:type="dxa"/>
            <w:tcBorders>
              <w:right w:val="single" w:sz="4" w:space="0" w:color="5B9BD5"/>
            </w:tcBorders>
            <w:shd w:val="clear" w:color="auto" w:fill="auto"/>
            <w:vAlign w:val="center"/>
          </w:tcPr>
          <w:p w:rsidR="00DC75FA" w:rsidRDefault="00DC75FA">
            <w:pPr>
              <w:spacing w:after="0" w:line="240" w:lineRule="auto"/>
              <w:jc w:val="center"/>
              <w:rPr>
                <w:rFonts w:ascii="Times New Roman" w:eastAsia="Times New Roman" w:hAnsi="Times New Roman" w:cs="Times New Roman"/>
                <w:sz w:val="20"/>
                <w:szCs w:val="20"/>
                <w:highlight w:val="yellow"/>
                <w:lang w:eastAsia="pl-PL"/>
              </w:rPr>
            </w:pPr>
          </w:p>
        </w:tc>
        <w:tc>
          <w:tcPr>
            <w:tcW w:w="1332" w:type="dxa"/>
            <w:tcBorders>
              <w:top w:val="single" w:sz="4" w:space="0" w:color="5B9BD5"/>
              <w:lef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Cyców</w:t>
            </w:r>
          </w:p>
        </w:tc>
        <w:tc>
          <w:tcPr>
            <w:tcW w:w="1332"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Ludwin</w:t>
            </w:r>
          </w:p>
        </w:tc>
        <w:tc>
          <w:tcPr>
            <w:tcW w:w="1332"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Milejów</w:t>
            </w:r>
          </w:p>
        </w:tc>
        <w:tc>
          <w:tcPr>
            <w:tcW w:w="1332" w:type="dxa"/>
            <w:tcBorders>
              <w:top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Puchaczów</w:t>
            </w:r>
          </w:p>
        </w:tc>
        <w:tc>
          <w:tcPr>
            <w:tcW w:w="1327" w:type="dxa"/>
            <w:tcBorders>
              <w:top w:val="single" w:sz="4" w:space="0" w:color="5B9BD5"/>
              <w:right w:val="single" w:sz="4" w:space="0" w:color="5B9BD5"/>
            </w:tcBorders>
            <w:shd w:val="clear" w:color="auto" w:fill="auto"/>
            <w:vAlign w:val="center"/>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Urszulin</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imes New Roman" w:eastAsia="Times New Roman" w:hAnsi="Times New Roman" w:cs="Times New Roman"/>
                <w:b w:val="0"/>
                <w:bCs w:val="0"/>
                <w:sz w:val="20"/>
                <w:szCs w:val="20"/>
                <w:highlight w:val="yellow"/>
                <w:lang w:eastAsia="pl-PL"/>
              </w:rPr>
            </w:pPr>
            <w:r>
              <w:rPr>
                <w:rFonts w:ascii="Times New Roman" w:hAnsi="Times New Roman" w:cs="Times New Roman"/>
                <w:b w:val="0"/>
                <w:bCs w:val="0"/>
                <w:sz w:val="20"/>
                <w:szCs w:val="20"/>
              </w:rPr>
              <w:t>zagrożenie kradzieżą</w:t>
            </w:r>
          </w:p>
        </w:tc>
        <w:tc>
          <w:tcPr>
            <w:tcW w:w="1332"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7</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2</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8</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11</w:t>
            </w:r>
          </w:p>
        </w:tc>
        <w:tc>
          <w:tcPr>
            <w:tcW w:w="1327"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proofErr w:type="spellStart"/>
            <w:r>
              <w:rPr>
                <w:rFonts w:ascii="Times New Roman" w:eastAsia="Times New Roman" w:hAnsi="Times New Roman" w:cs="Times New Roman"/>
                <w:sz w:val="20"/>
                <w:szCs w:val="20"/>
                <w:lang w:eastAsia="pl-PL"/>
              </w:rPr>
              <w:t>bd</w:t>
            </w:r>
            <w:proofErr w:type="spellEnd"/>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imes New Roman" w:eastAsia="Times New Roman" w:hAnsi="Times New Roman" w:cs="Times New Roman"/>
                <w:b w:val="0"/>
                <w:bCs w:val="0"/>
                <w:i/>
                <w:sz w:val="20"/>
                <w:szCs w:val="20"/>
                <w:highlight w:val="yellow"/>
                <w:lang w:eastAsia="pl-PL"/>
              </w:rPr>
            </w:pPr>
            <w:r>
              <w:rPr>
                <w:rFonts w:ascii="Times New Roman" w:hAnsi="Times New Roman" w:cs="Times New Roman"/>
                <w:b w:val="0"/>
                <w:bCs w:val="0"/>
                <w:sz w:val="20"/>
                <w:szCs w:val="20"/>
              </w:rPr>
              <w:t>zagrożenie kradzieżą z włamaniem</w:t>
            </w:r>
          </w:p>
        </w:tc>
        <w:tc>
          <w:tcPr>
            <w:tcW w:w="1332"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highlight w:val="yellow"/>
                <w:lang w:eastAsia="pl-PL"/>
              </w:rPr>
            </w:pPr>
            <w:r>
              <w:rPr>
                <w:rFonts w:ascii="Times New Roman" w:hAnsi="Times New Roman" w:cs="Times New Roman"/>
                <w:sz w:val="20"/>
                <w:szCs w:val="20"/>
              </w:rPr>
              <w:t>3</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highlight w:val="yellow"/>
                <w:lang w:eastAsia="pl-PL"/>
              </w:rPr>
            </w:pPr>
            <w:r>
              <w:rPr>
                <w:rFonts w:ascii="Times New Roman" w:hAnsi="Times New Roman" w:cs="Times New Roman"/>
                <w:sz w:val="20"/>
                <w:szCs w:val="20"/>
              </w:rPr>
              <w:t>5</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highlight w:val="yellow"/>
                <w:lang w:eastAsia="pl-PL"/>
              </w:rPr>
            </w:pPr>
            <w:r>
              <w:rPr>
                <w:rFonts w:ascii="Times New Roman" w:hAnsi="Times New Roman" w:cs="Times New Roman"/>
                <w:sz w:val="20"/>
                <w:szCs w:val="20"/>
              </w:rPr>
              <w:t>8</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0"/>
                <w:szCs w:val="20"/>
                <w:highlight w:val="yellow"/>
                <w:lang w:eastAsia="pl-PL"/>
              </w:rPr>
            </w:pPr>
            <w:r>
              <w:rPr>
                <w:rFonts w:ascii="Times New Roman" w:hAnsi="Times New Roman" w:cs="Times New Roman"/>
                <w:sz w:val="20"/>
                <w:szCs w:val="20"/>
              </w:rPr>
              <w:t>10</w:t>
            </w:r>
          </w:p>
        </w:tc>
        <w:tc>
          <w:tcPr>
            <w:tcW w:w="132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lang w:eastAsia="pl-PL"/>
              </w:rPr>
            </w:pPr>
            <w:proofErr w:type="spellStart"/>
            <w:r>
              <w:rPr>
                <w:rFonts w:ascii="Times New Roman" w:eastAsia="Times New Roman" w:hAnsi="Times New Roman" w:cs="Times New Roman"/>
                <w:i/>
                <w:iCs/>
                <w:sz w:val="20"/>
                <w:szCs w:val="20"/>
                <w:lang w:eastAsia="pl-PL"/>
              </w:rPr>
              <w:t>bd</w:t>
            </w:r>
            <w:proofErr w:type="spellEnd"/>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imes New Roman" w:eastAsia="Times New Roman" w:hAnsi="Times New Roman" w:cs="Times New Roman"/>
                <w:b w:val="0"/>
                <w:bCs w:val="0"/>
                <w:sz w:val="20"/>
                <w:szCs w:val="20"/>
                <w:highlight w:val="yellow"/>
                <w:lang w:eastAsia="pl-PL"/>
              </w:rPr>
            </w:pPr>
            <w:r>
              <w:rPr>
                <w:rFonts w:ascii="Times New Roman" w:hAnsi="Times New Roman" w:cs="Times New Roman"/>
                <w:b w:val="0"/>
                <w:bCs w:val="0"/>
                <w:sz w:val="20"/>
                <w:szCs w:val="20"/>
              </w:rPr>
              <w:t>zagrożenie kradzieżą pojazdu</w:t>
            </w:r>
          </w:p>
        </w:tc>
        <w:tc>
          <w:tcPr>
            <w:tcW w:w="1332"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0</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0</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0</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3</w:t>
            </w:r>
          </w:p>
        </w:tc>
        <w:tc>
          <w:tcPr>
            <w:tcW w:w="1327"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proofErr w:type="spellStart"/>
            <w:r>
              <w:rPr>
                <w:rFonts w:ascii="Times New Roman" w:eastAsia="Times New Roman" w:hAnsi="Times New Roman" w:cs="Times New Roman"/>
                <w:sz w:val="20"/>
                <w:szCs w:val="20"/>
                <w:lang w:eastAsia="pl-PL"/>
              </w:rPr>
              <w:t>bd</w:t>
            </w:r>
            <w:proofErr w:type="spellEnd"/>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imes New Roman" w:eastAsia="Times New Roman" w:hAnsi="Times New Roman" w:cs="Times New Roman"/>
                <w:b w:val="0"/>
                <w:bCs w:val="0"/>
                <w:sz w:val="20"/>
                <w:szCs w:val="20"/>
                <w:highlight w:val="yellow"/>
                <w:lang w:eastAsia="pl-PL"/>
              </w:rPr>
            </w:pPr>
            <w:r>
              <w:rPr>
                <w:rFonts w:ascii="Times New Roman" w:hAnsi="Times New Roman" w:cs="Times New Roman"/>
                <w:b w:val="0"/>
                <w:bCs w:val="0"/>
                <w:sz w:val="20"/>
                <w:szCs w:val="20"/>
              </w:rPr>
              <w:t>zagrożenie uszkodzeniem mienia</w:t>
            </w:r>
          </w:p>
        </w:tc>
        <w:tc>
          <w:tcPr>
            <w:tcW w:w="1332"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1</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3</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13</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2</w:t>
            </w:r>
          </w:p>
        </w:tc>
        <w:tc>
          <w:tcPr>
            <w:tcW w:w="132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proofErr w:type="spellStart"/>
            <w:r>
              <w:rPr>
                <w:rFonts w:ascii="Times New Roman" w:eastAsia="Times New Roman" w:hAnsi="Times New Roman" w:cs="Times New Roman"/>
                <w:sz w:val="20"/>
                <w:szCs w:val="20"/>
                <w:lang w:eastAsia="pl-PL"/>
              </w:rPr>
              <w:t>bd</w:t>
            </w:r>
            <w:proofErr w:type="spellEnd"/>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imes New Roman" w:eastAsia="Times New Roman" w:hAnsi="Times New Roman" w:cs="Times New Roman"/>
                <w:b w:val="0"/>
                <w:bCs w:val="0"/>
                <w:sz w:val="20"/>
                <w:szCs w:val="20"/>
                <w:highlight w:val="yellow"/>
                <w:lang w:eastAsia="pl-PL"/>
              </w:rPr>
            </w:pPr>
            <w:r>
              <w:rPr>
                <w:rFonts w:ascii="Times New Roman" w:hAnsi="Times New Roman" w:cs="Times New Roman"/>
                <w:b w:val="0"/>
                <w:bCs w:val="0"/>
                <w:sz w:val="20"/>
                <w:szCs w:val="20"/>
              </w:rPr>
              <w:t>zagrożenie rozbojem</w:t>
            </w:r>
          </w:p>
        </w:tc>
        <w:tc>
          <w:tcPr>
            <w:tcW w:w="1332"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0</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1</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2</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0</w:t>
            </w:r>
          </w:p>
        </w:tc>
        <w:tc>
          <w:tcPr>
            <w:tcW w:w="1327"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highlight w:val="yellow"/>
                <w:lang w:eastAsia="pl-PL"/>
              </w:rPr>
            </w:pPr>
            <w:proofErr w:type="spellStart"/>
            <w:r>
              <w:rPr>
                <w:rFonts w:ascii="Times New Roman" w:eastAsia="Times New Roman" w:hAnsi="Times New Roman" w:cs="Times New Roman"/>
                <w:sz w:val="20"/>
                <w:szCs w:val="20"/>
                <w:lang w:eastAsia="pl-PL"/>
              </w:rPr>
              <w:t>bd</w:t>
            </w:r>
            <w:proofErr w:type="spellEnd"/>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imes New Roman" w:eastAsia="Times New Roman" w:hAnsi="Times New Roman" w:cs="Times New Roman"/>
                <w:b w:val="0"/>
                <w:bCs w:val="0"/>
                <w:sz w:val="20"/>
                <w:szCs w:val="20"/>
                <w:highlight w:val="yellow"/>
                <w:lang w:eastAsia="pl-PL"/>
              </w:rPr>
            </w:pPr>
            <w:r>
              <w:rPr>
                <w:rFonts w:ascii="Times New Roman" w:hAnsi="Times New Roman" w:cs="Times New Roman"/>
                <w:b w:val="0"/>
                <w:bCs w:val="0"/>
                <w:sz w:val="20"/>
                <w:szCs w:val="20"/>
              </w:rPr>
              <w:t>zagrożeniem bójką i pobiciem</w:t>
            </w:r>
          </w:p>
        </w:tc>
        <w:tc>
          <w:tcPr>
            <w:tcW w:w="1332"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1</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0</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1</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r>
              <w:rPr>
                <w:rFonts w:ascii="Times New Roman" w:hAnsi="Times New Roman" w:cs="Times New Roman"/>
                <w:sz w:val="20"/>
                <w:szCs w:val="20"/>
              </w:rPr>
              <w:t>0</w:t>
            </w:r>
          </w:p>
        </w:tc>
        <w:tc>
          <w:tcPr>
            <w:tcW w:w="132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highlight w:val="yellow"/>
                <w:lang w:eastAsia="pl-PL"/>
              </w:rPr>
            </w:pPr>
            <w:proofErr w:type="spellStart"/>
            <w:r>
              <w:rPr>
                <w:rFonts w:ascii="Times New Roman" w:eastAsia="Times New Roman" w:hAnsi="Times New Roman" w:cs="Times New Roman"/>
                <w:sz w:val="20"/>
                <w:szCs w:val="20"/>
                <w:lang w:eastAsia="pl-PL"/>
              </w:rPr>
              <w:t>bd</w:t>
            </w:r>
            <w:proofErr w:type="spellEnd"/>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imes New Roman" w:hAnsi="Times New Roman" w:cs="Times New Roman"/>
                <w:b w:val="0"/>
                <w:bCs w:val="0"/>
                <w:color w:val="000000"/>
                <w:sz w:val="20"/>
                <w:szCs w:val="20"/>
                <w:highlight w:val="yellow"/>
              </w:rPr>
            </w:pPr>
            <w:r>
              <w:rPr>
                <w:rFonts w:ascii="Times New Roman" w:hAnsi="Times New Roman" w:cs="Times New Roman"/>
                <w:b w:val="0"/>
                <w:bCs w:val="0"/>
                <w:sz w:val="20"/>
                <w:szCs w:val="20"/>
              </w:rPr>
              <w:t>zagrożenie uszczerbkiem na zdrowiu</w:t>
            </w:r>
          </w:p>
        </w:tc>
        <w:tc>
          <w:tcPr>
            <w:tcW w:w="1332"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4</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2</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1</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1</w:t>
            </w:r>
          </w:p>
        </w:tc>
        <w:tc>
          <w:tcPr>
            <w:tcW w:w="1327"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proofErr w:type="spellStart"/>
            <w:r>
              <w:rPr>
                <w:rFonts w:ascii="Times New Roman" w:eastAsia="Times New Roman" w:hAnsi="Times New Roman" w:cs="Times New Roman"/>
                <w:sz w:val="20"/>
                <w:szCs w:val="20"/>
                <w:lang w:eastAsia="pl-PL"/>
              </w:rPr>
              <w:t>bd</w:t>
            </w:r>
            <w:proofErr w:type="spellEnd"/>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imes New Roman" w:hAnsi="Times New Roman" w:cs="Times New Roman"/>
                <w:b w:val="0"/>
                <w:bCs w:val="0"/>
                <w:color w:val="000000"/>
                <w:sz w:val="20"/>
                <w:szCs w:val="20"/>
                <w:highlight w:val="yellow"/>
              </w:rPr>
            </w:pPr>
            <w:r>
              <w:rPr>
                <w:rFonts w:ascii="Times New Roman" w:hAnsi="Times New Roman" w:cs="Times New Roman"/>
                <w:b w:val="0"/>
                <w:bCs w:val="0"/>
                <w:sz w:val="20"/>
                <w:szCs w:val="20"/>
              </w:rPr>
              <w:t xml:space="preserve">zagrożenie przestępczością </w:t>
            </w:r>
            <w:r>
              <w:rPr>
                <w:rFonts w:ascii="Times New Roman" w:hAnsi="Times New Roman" w:cs="Times New Roman"/>
                <w:b w:val="0"/>
                <w:bCs w:val="0"/>
                <w:sz w:val="20"/>
                <w:szCs w:val="20"/>
              </w:rPr>
              <w:lastRenderedPageBreak/>
              <w:t>narkotykową</w:t>
            </w:r>
          </w:p>
        </w:tc>
        <w:tc>
          <w:tcPr>
            <w:tcW w:w="1332"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lastRenderedPageBreak/>
              <w:t>8</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7</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19</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7</w:t>
            </w:r>
          </w:p>
        </w:tc>
        <w:tc>
          <w:tcPr>
            <w:tcW w:w="132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highlight w:val="yellow"/>
              </w:rPr>
            </w:pPr>
            <w:proofErr w:type="spellStart"/>
            <w:r>
              <w:rPr>
                <w:rFonts w:ascii="Times New Roman" w:eastAsia="Times New Roman" w:hAnsi="Times New Roman" w:cs="Times New Roman"/>
                <w:sz w:val="20"/>
                <w:szCs w:val="20"/>
                <w:lang w:eastAsia="pl-PL"/>
              </w:rPr>
              <w:t>bd</w:t>
            </w:r>
            <w:proofErr w:type="spellEnd"/>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bottom w:val="nil"/>
              <w:right w:val="single" w:sz="4" w:space="0" w:color="5B9BD5"/>
            </w:tcBorders>
            <w:vAlign w:val="center"/>
          </w:tcPr>
          <w:p w:rsidR="00DC75FA" w:rsidRDefault="00887D84">
            <w:pPr>
              <w:spacing w:after="0" w:line="240" w:lineRule="auto"/>
              <w:jc w:val="center"/>
              <w:rPr>
                <w:rFonts w:ascii="Times New Roman" w:hAnsi="Times New Roman" w:cs="Times New Roman"/>
                <w:b w:val="0"/>
                <w:bCs w:val="0"/>
                <w:color w:val="000000"/>
                <w:sz w:val="20"/>
                <w:szCs w:val="20"/>
                <w:highlight w:val="yellow"/>
              </w:rPr>
            </w:pPr>
            <w:r>
              <w:rPr>
                <w:rFonts w:ascii="Times New Roman" w:hAnsi="Times New Roman" w:cs="Times New Roman"/>
                <w:b w:val="0"/>
                <w:bCs w:val="0"/>
                <w:sz w:val="20"/>
                <w:szCs w:val="20"/>
              </w:rPr>
              <w:lastRenderedPageBreak/>
              <w:t>zagrożenie przestępczością znęcania się nad rodziną</w:t>
            </w:r>
          </w:p>
        </w:tc>
        <w:tc>
          <w:tcPr>
            <w:tcW w:w="1332" w:type="dxa"/>
            <w:tcBorders>
              <w:top w:val="nil"/>
              <w:left w:val="single" w:sz="4" w:space="0" w:color="5B9BD5"/>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4</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3</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15</w:t>
            </w:r>
          </w:p>
        </w:tc>
        <w:tc>
          <w:tcPr>
            <w:tcW w:w="1332" w:type="dxa"/>
            <w:tcBorders>
              <w:top w:val="nil"/>
              <w:bottom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6</w:t>
            </w:r>
          </w:p>
        </w:tc>
        <w:tc>
          <w:tcPr>
            <w:tcW w:w="1327" w:type="dxa"/>
            <w:tcBorders>
              <w:top w:val="nil"/>
              <w:bottom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proofErr w:type="spellStart"/>
            <w:r>
              <w:rPr>
                <w:rFonts w:ascii="Times New Roman" w:eastAsia="Times New Roman" w:hAnsi="Times New Roman" w:cs="Times New Roman"/>
                <w:sz w:val="20"/>
                <w:szCs w:val="20"/>
                <w:lang w:eastAsia="pl-PL"/>
              </w:rPr>
              <w:t>bd</w:t>
            </w:r>
            <w:proofErr w:type="spellEnd"/>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jc w:val="center"/>
              <w:rPr>
                <w:rFonts w:ascii="Times New Roman" w:hAnsi="Times New Roman" w:cs="Times New Roman"/>
                <w:b w:val="0"/>
                <w:bCs w:val="0"/>
                <w:color w:val="000000"/>
                <w:sz w:val="20"/>
                <w:szCs w:val="20"/>
                <w:highlight w:val="yellow"/>
              </w:rPr>
            </w:pPr>
            <w:r>
              <w:rPr>
                <w:rFonts w:ascii="Times New Roman" w:hAnsi="Times New Roman" w:cs="Times New Roman"/>
                <w:b w:val="0"/>
                <w:bCs w:val="0"/>
                <w:sz w:val="20"/>
                <w:szCs w:val="20"/>
              </w:rPr>
              <w:t>zagrożenie wypadkami w ruchu drogowym</w:t>
            </w:r>
          </w:p>
        </w:tc>
        <w:tc>
          <w:tcPr>
            <w:tcW w:w="1332" w:type="dxa"/>
            <w:tcBorders>
              <w:top w:val="nil"/>
              <w:left w:val="single" w:sz="4" w:space="0" w:color="5B9BD5"/>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7</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2</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2</w:t>
            </w:r>
          </w:p>
        </w:tc>
        <w:tc>
          <w:tcPr>
            <w:tcW w:w="1332" w:type="dxa"/>
            <w:tcBorders>
              <w:top w:val="nil"/>
              <w:bottom w:val="nil"/>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4</w:t>
            </w:r>
          </w:p>
        </w:tc>
        <w:tc>
          <w:tcPr>
            <w:tcW w:w="1327" w:type="dxa"/>
            <w:tcBorders>
              <w:top w:val="nil"/>
              <w:bottom w:val="nil"/>
              <w:right w:val="single" w:sz="4" w:space="0" w:color="5B9BD5"/>
            </w:tcBorders>
            <w:shd w:val="clear" w:color="auto" w:fill="auto"/>
            <w:vAlign w:val="center"/>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highlight w:val="yellow"/>
              </w:rPr>
            </w:pPr>
            <w:proofErr w:type="spellStart"/>
            <w:r>
              <w:rPr>
                <w:rFonts w:ascii="Times New Roman" w:eastAsia="Times New Roman" w:hAnsi="Times New Roman" w:cs="Times New Roman"/>
                <w:sz w:val="20"/>
                <w:szCs w:val="20"/>
                <w:lang w:eastAsia="pl-PL"/>
              </w:rPr>
              <w:t>bd</w:t>
            </w:r>
            <w:proofErr w:type="spellEnd"/>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2" w:type="dxa"/>
            <w:tcBorders>
              <w:top w:val="nil"/>
              <w:left w:val="single" w:sz="4" w:space="0" w:color="5B9BD5"/>
              <w:right w:val="single" w:sz="4" w:space="0" w:color="5B9BD5"/>
            </w:tcBorders>
            <w:vAlign w:val="center"/>
          </w:tcPr>
          <w:p w:rsidR="00DC75FA" w:rsidRDefault="00887D84">
            <w:pPr>
              <w:spacing w:after="0" w:line="240" w:lineRule="auto"/>
              <w:jc w:val="center"/>
              <w:rPr>
                <w:rFonts w:ascii="Times New Roman" w:hAnsi="Times New Roman" w:cs="Times New Roman"/>
                <w:b w:val="0"/>
                <w:bCs w:val="0"/>
                <w:color w:val="000000"/>
                <w:sz w:val="20"/>
                <w:szCs w:val="20"/>
                <w:highlight w:val="yellow"/>
              </w:rPr>
            </w:pPr>
            <w:r>
              <w:rPr>
                <w:rFonts w:ascii="Times New Roman" w:hAnsi="Times New Roman" w:cs="Times New Roman"/>
                <w:b w:val="0"/>
                <w:bCs w:val="0"/>
                <w:sz w:val="20"/>
                <w:szCs w:val="20"/>
              </w:rPr>
              <w:t>zagrożenie kolizjami drogowymi</w:t>
            </w:r>
          </w:p>
        </w:tc>
        <w:tc>
          <w:tcPr>
            <w:tcW w:w="1332" w:type="dxa"/>
            <w:tcBorders>
              <w:top w:val="nil"/>
              <w:lef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88</w:t>
            </w:r>
          </w:p>
        </w:tc>
        <w:tc>
          <w:tcPr>
            <w:tcW w:w="1332" w:type="dxa"/>
            <w:tcBorders>
              <w:top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57</w:t>
            </w:r>
          </w:p>
        </w:tc>
        <w:tc>
          <w:tcPr>
            <w:tcW w:w="1332" w:type="dxa"/>
            <w:tcBorders>
              <w:top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41</w:t>
            </w:r>
          </w:p>
        </w:tc>
        <w:tc>
          <w:tcPr>
            <w:tcW w:w="1332" w:type="dxa"/>
            <w:tcBorders>
              <w:top w:val="nil"/>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r>
              <w:rPr>
                <w:rFonts w:ascii="Times New Roman" w:hAnsi="Times New Roman" w:cs="Times New Roman"/>
                <w:sz w:val="20"/>
                <w:szCs w:val="20"/>
              </w:rPr>
              <w:t>84</w:t>
            </w:r>
          </w:p>
        </w:tc>
        <w:tc>
          <w:tcPr>
            <w:tcW w:w="1327" w:type="dxa"/>
            <w:tcBorders>
              <w:top w:val="nil"/>
              <w:right w:val="single" w:sz="4" w:space="0" w:color="5B9BD5"/>
            </w:tcBorders>
            <w:vAlign w:val="center"/>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highlight w:val="yellow"/>
              </w:rPr>
            </w:pPr>
            <w:proofErr w:type="spellStart"/>
            <w:r>
              <w:rPr>
                <w:rFonts w:ascii="Times New Roman" w:eastAsia="Times New Roman" w:hAnsi="Times New Roman" w:cs="Times New Roman"/>
                <w:sz w:val="20"/>
                <w:szCs w:val="20"/>
                <w:lang w:eastAsia="pl-PL"/>
              </w:rPr>
              <w:t>bd</w:t>
            </w:r>
            <w:proofErr w:type="spellEnd"/>
          </w:p>
        </w:tc>
      </w:tr>
    </w:tbl>
    <w:p w:rsidR="00DC75FA" w:rsidRDefault="00887D84">
      <w:pPr>
        <w:pStyle w:val="aaardo"/>
      </w:pPr>
      <w:r>
        <w:t>Źródło: Ocena stanu bezpieczeństwa i porządku publicznego na terenie działania KPP w Łęcznej za 2019 r.</w:t>
      </w:r>
    </w:p>
    <w:p w:rsidR="00DC75FA" w:rsidRDefault="00887D84">
      <w:pPr>
        <w:spacing w:after="0"/>
        <w:ind w:firstLine="567"/>
        <w:rPr>
          <w:rFonts w:ascii="Times New Roman" w:hAnsi="Times New Roman" w:cs="Times New Roman"/>
        </w:rPr>
      </w:pPr>
      <w:r>
        <w:rPr>
          <w:rFonts w:ascii="Times New Roman" w:hAnsi="Times New Roman" w:cs="Times New Roman"/>
        </w:rPr>
        <w:t xml:space="preserve">Jednym z zadań realizowanych przez JST jest zapewnienie porządku publicznego i bezpieczeństwa przeciwpożarowego. </w:t>
      </w:r>
      <w:bookmarkStart w:id="185" w:name="_Hlk51600968"/>
      <w:r>
        <w:rPr>
          <w:rFonts w:ascii="Times New Roman" w:hAnsi="Times New Roman" w:cs="Times New Roman"/>
        </w:rPr>
        <w:t xml:space="preserve">Na terenie OF bezpieczeństwo przeciwpożarowe zapewniają </w:t>
      </w:r>
      <w:bookmarkEnd w:id="185"/>
      <w:r>
        <w:rPr>
          <w:rFonts w:ascii="Times New Roman" w:hAnsi="Times New Roman" w:cs="Times New Roman"/>
        </w:rPr>
        <w:t>następujące jednostki straży pożarnej:</w:t>
      </w:r>
    </w:p>
    <w:p w:rsidR="00DC75FA" w:rsidRDefault="00887D84">
      <w:pPr>
        <w:pStyle w:val="Akapitzlist"/>
        <w:numPr>
          <w:ilvl w:val="0"/>
          <w:numId w:val="33"/>
        </w:numPr>
        <w:spacing w:after="0" w:line="276" w:lineRule="auto"/>
        <w:jc w:val="both"/>
        <w:rPr>
          <w:rFonts w:ascii="Times New Roman" w:hAnsi="Times New Roman" w:cs="Times New Roman"/>
        </w:rPr>
      </w:pPr>
      <w:r>
        <w:rPr>
          <w:rFonts w:ascii="Times New Roman" w:hAnsi="Times New Roman" w:cs="Times New Roman"/>
        </w:rPr>
        <w:t>Gmina Cyców: OSP Cyców, OSP Bekiesza, OSP Garbatówka, OSP Głębokie, OSP Janowica, OSP Malinówka, OSP Nowy Stręczyn, OSP Świerszczów, OSP Zaróbka;</w:t>
      </w:r>
    </w:p>
    <w:p w:rsidR="00DC75FA" w:rsidRDefault="00887D84">
      <w:pPr>
        <w:pStyle w:val="Akapitzlist"/>
        <w:numPr>
          <w:ilvl w:val="0"/>
          <w:numId w:val="33"/>
        </w:numPr>
        <w:spacing w:after="0" w:line="276" w:lineRule="auto"/>
        <w:jc w:val="both"/>
        <w:rPr>
          <w:rFonts w:ascii="Times New Roman" w:hAnsi="Times New Roman" w:cs="Times New Roman"/>
        </w:rPr>
      </w:pPr>
      <w:r>
        <w:rPr>
          <w:rFonts w:ascii="Times New Roman" w:hAnsi="Times New Roman" w:cs="Times New Roman"/>
        </w:rPr>
        <w:t>Gmina Ludwin: OSP Ludwin, OSP Czarny Las, OSP Dratów, OSP Kaniwola, OSP Uciekajka, OSP Zezulin Pierwszy, OSP Piaseczno;</w:t>
      </w:r>
    </w:p>
    <w:p w:rsidR="00DC75FA" w:rsidRDefault="00887D84">
      <w:pPr>
        <w:pStyle w:val="Akapitzlist"/>
        <w:numPr>
          <w:ilvl w:val="0"/>
          <w:numId w:val="33"/>
        </w:numPr>
        <w:spacing w:after="0" w:line="276" w:lineRule="auto"/>
        <w:jc w:val="both"/>
        <w:rPr>
          <w:rFonts w:ascii="Times New Roman" w:hAnsi="Times New Roman" w:cs="Times New Roman"/>
        </w:rPr>
      </w:pPr>
      <w:r>
        <w:rPr>
          <w:rFonts w:ascii="Times New Roman" w:hAnsi="Times New Roman" w:cs="Times New Roman"/>
        </w:rPr>
        <w:t>Gmina Milejów: OSP Antoniów, OSP Białka, OSP Łańcuchów, OSP Maryniów, OSP Milejów, OSP Ostrówek Kolonia, OSP Starościce, OSP Zalesie;</w:t>
      </w:r>
    </w:p>
    <w:p w:rsidR="00DC75FA" w:rsidRDefault="00887D84">
      <w:pPr>
        <w:pStyle w:val="Akapitzlist"/>
        <w:numPr>
          <w:ilvl w:val="0"/>
          <w:numId w:val="33"/>
        </w:numPr>
        <w:spacing w:after="0" w:line="276" w:lineRule="auto"/>
        <w:jc w:val="both"/>
        <w:rPr>
          <w:rFonts w:ascii="Times New Roman" w:hAnsi="Times New Roman" w:cs="Times New Roman"/>
        </w:rPr>
      </w:pPr>
      <w:r>
        <w:rPr>
          <w:rFonts w:ascii="Times New Roman" w:hAnsi="Times New Roman" w:cs="Times New Roman"/>
        </w:rPr>
        <w:t>Gmina Puchaczów: OSP Albertów, OSP Brzeziny, OSP Ciechanki, OSP Kolonia Ciechanki, OSP Nadrybie, OSP Ostrówek, OSP Szpica, OSP Turowola, OSP Turowola Kolonia, OSP Wesołówka, OSP Zawadówka.</w:t>
      </w:r>
    </w:p>
    <w:p w:rsidR="00DC75FA" w:rsidRDefault="00887D84">
      <w:pPr>
        <w:pStyle w:val="Akapitzlist"/>
        <w:numPr>
          <w:ilvl w:val="0"/>
          <w:numId w:val="33"/>
        </w:numPr>
        <w:spacing w:after="0" w:line="276" w:lineRule="auto"/>
        <w:jc w:val="both"/>
        <w:rPr>
          <w:rFonts w:ascii="Times New Roman" w:hAnsi="Times New Roman" w:cs="Times New Roman"/>
        </w:rPr>
      </w:pPr>
      <w:r>
        <w:rPr>
          <w:rFonts w:ascii="Times New Roman" w:hAnsi="Times New Roman" w:cs="Times New Roman"/>
        </w:rPr>
        <w:t xml:space="preserve">Gmina Urszulin: 7 jednostek OSP. </w:t>
      </w:r>
      <w:bookmarkStart w:id="186" w:name="_Hlk33620706"/>
      <w:bookmarkEnd w:id="186"/>
    </w:p>
    <w:p w:rsidR="00DC75FA" w:rsidRDefault="00887D84">
      <w:pPr>
        <w:pStyle w:val="Akapitzlist"/>
        <w:numPr>
          <w:ilvl w:val="0"/>
          <w:numId w:val="28"/>
        </w:numPr>
        <w:spacing w:line="276" w:lineRule="auto"/>
        <w:rPr>
          <w:rFonts w:ascii="Times New Roman" w:hAnsi="Times New Roman" w:cs="Times New Roman"/>
          <w:b/>
          <w:color w:val="ED7D31" w:themeColor="accent2"/>
          <w:sz w:val="24"/>
          <w:szCs w:val="24"/>
          <w:highlight w:val="yellow"/>
        </w:rPr>
      </w:pPr>
      <w:r>
        <w:br w:type="page"/>
      </w:r>
    </w:p>
    <w:p w:rsidR="00DC75FA" w:rsidRDefault="00887D84">
      <w:pPr>
        <w:pStyle w:val="Bezodstpw"/>
        <w:numPr>
          <w:ilvl w:val="1"/>
          <w:numId w:val="25"/>
        </w:numPr>
        <w:spacing w:after="240" w:line="276" w:lineRule="auto"/>
        <w:ind w:left="788" w:hanging="431"/>
        <w:jc w:val="both"/>
        <w:outlineLvl w:val="2"/>
        <w:rPr>
          <w:rFonts w:ascii="Times New Roman" w:hAnsi="Times New Roman" w:cs="Times New Roman"/>
          <w:b/>
          <w:color w:val="5B9BD5" w:themeColor="accent1"/>
          <w:sz w:val="24"/>
          <w:szCs w:val="24"/>
        </w:rPr>
      </w:pPr>
      <w:bookmarkStart w:id="187" w:name="_Toc116896690"/>
      <w:bookmarkStart w:id="188" w:name="_Toc105754716"/>
      <w:r>
        <w:rPr>
          <w:rFonts w:ascii="Times New Roman" w:hAnsi="Times New Roman" w:cs="Times New Roman"/>
          <w:b/>
          <w:color w:val="5B9BD5" w:themeColor="accent1"/>
          <w:sz w:val="24"/>
          <w:szCs w:val="24"/>
        </w:rPr>
        <w:lastRenderedPageBreak/>
        <w:t>FINANSE SAMORZĄDU</w:t>
      </w:r>
      <w:bookmarkEnd w:id="187"/>
      <w:bookmarkEnd w:id="188"/>
    </w:p>
    <w:p w:rsidR="00DC75FA" w:rsidRDefault="00887D84">
      <w:pPr>
        <w:pStyle w:val="Bezodstpw"/>
        <w:numPr>
          <w:ilvl w:val="2"/>
          <w:numId w:val="25"/>
        </w:numPr>
        <w:spacing w:after="240" w:line="276" w:lineRule="auto"/>
        <w:contextualSpacing/>
        <w:jc w:val="both"/>
        <w:outlineLvl w:val="3"/>
        <w:rPr>
          <w:rFonts w:ascii="Times New Roman" w:hAnsi="Times New Roman" w:cs="Times New Roman"/>
          <w:b/>
          <w:color w:val="5B9BD5" w:themeColor="accent1"/>
          <w:sz w:val="24"/>
          <w:szCs w:val="24"/>
        </w:rPr>
      </w:pPr>
      <w:bookmarkStart w:id="189" w:name="_Toc116896691"/>
      <w:r>
        <w:rPr>
          <w:rFonts w:ascii="Times New Roman" w:hAnsi="Times New Roman" w:cs="Times New Roman"/>
          <w:b/>
          <w:color w:val="5B9BD5" w:themeColor="accent1"/>
          <w:sz w:val="24"/>
          <w:szCs w:val="24"/>
        </w:rPr>
        <w:t>Zrealizowany budżet JST</w:t>
      </w:r>
      <w:bookmarkEnd w:id="189"/>
    </w:p>
    <w:p w:rsidR="00DC75FA" w:rsidRDefault="00887D84">
      <w:pPr>
        <w:pStyle w:val="aaapodpis"/>
      </w:pPr>
      <w:bookmarkStart w:id="190" w:name="_Toc75899529"/>
      <w:r>
        <w:t xml:space="preserve">Wykres </w:t>
      </w:r>
      <w:r>
        <w:fldChar w:fldCharType="begin"/>
      </w:r>
      <w:r>
        <w:instrText>SEQ Wykres \* ARABIC</w:instrText>
      </w:r>
      <w:r>
        <w:fldChar w:fldCharType="separate"/>
      </w:r>
      <w:r>
        <w:t>32</w:t>
      </w:r>
      <w:r>
        <w:fldChar w:fldCharType="end"/>
      </w:r>
      <w:r>
        <w:t>: Dochody i wydatki budżetów gmin wchodzących w skład OF w przeliczeniu na 1 mieszkańca (w zł) w latach 2017-2019</w:t>
      </w:r>
      <w:bookmarkEnd w:id="190"/>
    </w:p>
    <w:p w:rsidR="00DC75FA" w:rsidRDefault="00887D84">
      <w:pPr>
        <w:rPr>
          <w:rFonts w:ascii="Times New Roman" w:hAnsi="Times New Roman" w:cs="Times New Roman"/>
          <w:b/>
          <w:color w:val="5B9BD5" w:themeColor="accent1"/>
          <w:sz w:val="24"/>
          <w:szCs w:val="24"/>
          <w:highlight w:val="yellow"/>
        </w:rPr>
      </w:pPr>
      <w:r>
        <w:rPr>
          <w:noProof/>
          <w:lang w:eastAsia="pl-PL"/>
        </w:rPr>
        <w:drawing>
          <wp:inline distT="0" distB="0" distL="0" distR="0">
            <wp:extent cx="6120130" cy="2678430"/>
            <wp:effectExtent l="0" t="0" r="0" b="0"/>
            <wp:docPr id="113" name="Wykres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DC75FA" w:rsidRDefault="00887D84">
      <w:pPr>
        <w:pStyle w:val="aaardo"/>
      </w:pPr>
      <w:r>
        <w:t>Źródło: opracowanie własne na podstawie danych GUS – Bank Danych Lokalnych.</w:t>
      </w:r>
    </w:p>
    <w:p w:rsidR="00DC75FA" w:rsidRDefault="00887D84">
      <w:pPr>
        <w:pStyle w:val="aaapodpis"/>
      </w:pPr>
      <w:bookmarkStart w:id="191" w:name="_Toc75899298"/>
      <w:r>
        <w:t>Tabela 20: Dochody i wydatki budżetów gmin wchodzących w skład OF ogółem (w zł) w latach 2017-2019</w:t>
      </w:r>
      <w:bookmarkEnd w:id="191"/>
    </w:p>
    <w:tbl>
      <w:tblPr>
        <w:tblStyle w:val="Jasnecieniowanieakcent11"/>
        <w:tblW w:w="5000" w:type="pct"/>
        <w:tblLook w:val="04A0" w:firstRow="1" w:lastRow="0" w:firstColumn="1" w:lastColumn="0" w:noHBand="0" w:noVBand="1"/>
      </w:tblPr>
      <w:tblGrid>
        <w:gridCol w:w="1007"/>
        <w:gridCol w:w="1213"/>
        <w:gridCol w:w="1212"/>
        <w:gridCol w:w="1213"/>
        <w:gridCol w:w="790"/>
        <w:gridCol w:w="1199"/>
        <w:gridCol w:w="1202"/>
        <w:gridCol w:w="1201"/>
        <w:gridCol w:w="817"/>
      </w:tblGrid>
      <w:tr w:rsidR="00DC75FA" w:rsidTr="00DC75F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dxa"/>
            <w:tcBorders>
              <w:bottom w:val="nil"/>
              <w:right w:val="single" w:sz="4" w:space="0" w:color="5B9BD5"/>
            </w:tcBorders>
            <w:shd w:val="clear" w:color="auto" w:fill="auto"/>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4330" w:type="dxa"/>
            <w:gridSpan w:val="4"/>
            <w:tcBorders>
              <w:top w:val="single" w:sz="4" w:space="0" w:color="5B9BD5"/>
              <w:left w:val="single" w:sz="4" w:space="0" w:color="5B9BD5"/>
              <w:right w:val="single" w:sz="4" w:space="0" w:color="5B9BD5"/>
            </w:tcBorders>
            <w:shd w:val="clear" w:color="auto" w:fill="auto"/>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Dochody ogółem</w:t>
            </w:r>
          </w:p>
        </w:tc>
        <w:tc>
          <w:tcPr>
            <w:tcW w:w="4323" w:type="dxa"/>
            <w:gridSpan w:val="4"/>
            <w:tcBorders>
              <w:top w:val="single" w:sz="4" w:space="0" w:color="5B9BD5"/>
              <w:left w:val="single" w:sz="4" w:space="0" w:color="5B9BD5"/>
              <w:right w:val="single" w:sz="4" w:space="0" w:color="5B9BD5"/>
            </w:tcBorders>
            <w:shd w:val="clear" w:color="auto" w:fill="auto"/>
          </w:tcPr>
          <w:p w:rsidR="00DC75FA" w:rsidRDefault="00887D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Wydatki ogółem</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dxa"/>
            <w:tcBorders>
              <w:top w:val="nil"/>
              <w:bottom w:val="single" w:sz="4" w:space="0" w:color="5B9BD5"/>
              <w:right w:val="single" w:sz="4" w:space="0" w:color="5B9BD5"/>
            </w:tcBorders>
            <w:shd w:val="clear" w:color="auto" w:fill="auto"/>
          </w:tcPr>
          <w:p w:rsidR="00DC75FA" w:rsidRDefault="00DC75FA">
            <w:pPr>
              <w:spacing w:after="0" w:line="240" w:lineRule="auto"/>
              <w:jc w:val="center"/>
              <w:rPr>
                <w:rFonts w:asciiTheme="majorHAnsi" w:eastAsia="Times New Roman" w:hAnsiTheme="majorHAnsi" w:cstheme="majorHAnsi"/>
                <w:sz w:val="16"/>
                <w:szCs w:val="16"/>
                <w:lang w:eastAsia="pl-PL"/>
              </w:rPr>
            </w:pPr>
          </w:p>
        </w:tc>
        <w:tc>
          <w:tcPr>
            <w:tcW w:w="1186" w:type="dxa"/>
            <w:tcBorders>
              <w:top w:val="nil"/>
              <w:left w:val="single" w:sz="4" w:space="0" w:color="5B9BD5"/>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6"/>
                <w:szCs w:val="16"/>
                <w:lang w:eastAsia="pl-PL"/>
              </w:rPr>
            </w:pPr>
            <w:r>
              <w:rPr>
                <w:rFonts w:asciiTheme="majorHAnsi" w:eastAsia="Times New Roman" w:hAnsiTheme="majorHAnsi" w:cstheme="majorHAnsi"/>
                <w:b/>
                <w:bCs/>
                <w:sz w:val="16"/>
                <w:szCs w:val="16"/>
                <w:lang w:eastAsia="pl-PL"/>
              </w:rPr>
              <w:t>2017</w:t>
            </w:r>
          </w:p>
        </w:tc>
        <w:tc>
          <w:tcPr>
            <w:tcW w:w="1185" w:type="dxa"/>
            <w:tcBorders>
              <w:top w:val="nil"/>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6"/>
                <w:szCs w:val="16"/>
                <w:lang w:eastAsia="pl-PL"/>
              </w:rPr>
            </w:pPr>
            <w:r>
              <w:rPr>
                <w:rFonts w:asciiTheme="majorHAnsi" w:eastAsia="Times New Roman" w:hAnsiTheme="majorHAnsi" w:cstheme="majorHAnsi"/>
                <w:b/>
                <w:bCs/>
                <w:sz w:val="16"/>
                <w:szCs w:val="16"/>
                <w:lang w:eastAsia="pl-PL"/>
              </w:rPr>
              <w:t>2018</w:t>
            </w:r>
          </w:p>
        </w:tc>
        <w:tc>
          <w:tcPr>
            <w:tcW w:w="1186" w:type="dxa"/>
            <w:tcBorders>
              <w:top w:val="nil"/>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6"/>
                <w:szCs w:val="16"/>
                <w:lang w:eastAsia="pl-PL"/>
              </w:rPr>
            </w:pPr>
            <w:r>
              <w:rPr>
                <w:rFonts w:asciiTheme="majorHAnsi" w:eastAsia="Times New Roman" w:hAnsiTheme="majorHAnsi" w:cstheme="majorHAnsi"/>
                <w:b/>
                <w:bCs/>
                <w:sz w:val="16"/>
                <w:szCs w:val="16"/>
                <w:lang w:eastAsia="pl-PL"/>
              </w:rPr>
              <w:t>2019</w:t>
            </w:r>
          </w:p>
        </w:tc>
        <w:tc>
          <w:tcPr>
            <w:tcW w:w="773" w:type="dxa"/>
            <w:tcBorders>
              <w:top w:val="nil"/>
              <w:left w:val="single" w:sz="4" w:space="0" w:color="5B9BD5"/>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iCs/>
                <w:sz w:val="16"/>
                <w:szCs w:val="16"/>
                <w:lang w:eastAsia="pl-PL"/>
              </w:rPr>
            </w:pPr>
            <w:r>
              <w:rPr>
                <w:rFonts w:asciiTheme="majorHAnsi" w:eastAsia="Times New Roman" w:hAnsiTheme="majorHAnsi" w:cstheme="majorHAnsi"/>
                <w:b/>
                <w:bCs/>
                <w:i/>
                <w:iCs/>
                <w:sz w:val="16"/>
                <w:szCs w:val="16"/>
                <w:lang w:eastAsia="pl-PL"/>
              </w:rPr>
              <w:t>Zmiana</w:t>
            </w:r>
          </w:p>
        </w:tc>
        <w:tc>
          <w:tcPr>
            <w:tcW w:w="1173" w:type="dxa"/>
            <w:tcBorders>
              <w:top w:val="nil"/>
              <w:left w:val="single" w:sz="4" w:space="0" w:color="5B9BD5"/>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6"/>
                <w:szCs w:val="16"/>
                <w:lang w:eastAsia="pl-PL"/>
              </w:rPr>
            </w:pPr>
            <w:r>
              <w:rPr>
                <w:rFonts w:asciiTheme="majorHAnsi" w:eastAsia="Times New Roman" w:hAnsiTheme="majorHAnsi" w:cstheme="majorHAnsi"/>
                <w:b/>
                <w:bCs/>
                <w:sz w:val="16"/>
                <w:szCs w:val="16"/>
                <w:lang w:eastAsia="pl-PL"/>
              </w:rPr>
              <w:t>2017</w:t>
            </w:r>
          </w:p>
        </w:tc>
        <w:tc>
          <w:tcPr>
            <w:tcW w:w="1176" w:type="dxa"/>
            <w:tcBorders>
              <w:top w:val="nil"/>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6"/>
                <w:szCs w:val="16"/>
                <w:lang w:eastAsia="pl-PL"/>
              </w:rPr>
            </w:pPr>
            <w:r>
              <w:rPr>
                <w:rFonts w:asciiTheme="majorHAnsi" w:eastAsia="Times New Roman" w:hAnsiTheme="majorHAnsi" w:cstheme="majorHAnsi"/>
                <w:b/>
                <w:bCs/>
                <w:sz w:val="16"/>
                <w:szCs w:val="16"/>
                <w:lang w:eastAsia="pl-PL"/>
              </w:rPr>
              <w:t>2018</w:t>
            </w:r>
          </w:p>
        </w:tc>
        <w:tc>
          <w:tcPr>
            <w:tcW w:w="1175" w:type="dxa"/>
            <w:tcBorders>
              <w:top w:val="nil"/>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16"/>
                <w:szCs w:val="16"/>
                <w:lang w:eastAsia="pl-PL"/>
              </w:rPr>
            </w:pPr>
            <w:r>
              <w:rPr>
                <w:rFonts w:asciiTheme="majorHAnsi" w:eastAsia="Times New Roman" w:hAnsiTheme="majorHAnsi" w:cstheme="majorHAnsi"/>
                <w:b/>
                <w:bCs/>
                <w:sz w:val="16"/>
                <w:szCs w:val="16"/>
                <w:lang w:eastAsia="pl-PL"/>
              </w:rPr>
              <w:t>2019</w:t>
            </w:r>
          </w:p>
        </w:tc>
        <w:tc>
          <w:tcPr>
            <w:tcW w:w="799" w:type="dxa"/>
            <w:tcBorders>
              <w:top w:val="nil"/>
              <w:left w:val="single" w:sz="4" w:space="0" w:color="5B9BD5"/>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i/>
                <w:iCs/>
                <w:sz w:val="16"/>
                <w:szCs w:val="16"/>
                <w:lang w:eastAsia="pl-PL"/>
              </w:rPr>
            </w:pPr>
            <w:r>
              <w:rPr>
                <w:rFonts w:asciiTheme="majorHAnsi" w:eastAsia="Times New Roman" w:hAnsiTheme="majorHAnsi" w:cstheme="majorHAnsi"/>
                <w:b/>
                <w:bCs/>
                <w:i/>
                <w:iCs/>
                <w:sz w:val="16"/>
                <w:szCs w:val="16"/>
                <w:lang w:eastAsia="pl-PL"/>
              </w:rPr>
              <w:t>Zmiana</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5B9BD5"/>
              <w:left w:val="single" w:sz="4" w:space="0" w:color="5B9BD5"/>
              <w:bottom w:val="nil"/>
              <w:right w:val="single" w:sz="4" w:space="0" w:color="5B9BD5"/>
            </w:tcBorders>
            <w:shd w:val="clear" w:color="auto" w:fill="auto"/>
          </w:tcPr>
          <w:p w:rsidR="00DC75FA" w:rsidRDefault="00887D84">
            <w:pPr>
              <w:spacing w:after="0" w:line="240" w:lineRule="auto"/>
              <w:jc w:val="center"/>
              <w:rPr>
                <w:rFonts w:asciiTheme="majorHAnsi" w:eastAsia="Times New Roman" w:hAnsiTheme="majorHAnsi" w:cstheme="majorHAnsi"/>
                <w:b w:val="0"/>
                <w:bCs w:val="0"/>
                <w:sz w:val="16"/>
                <w:szCs w:val="16"/>
                <w:lang w:eastAsia="pl-PL"/>
              </w:rPr>
            </w:pPr>
            <w:r>
              <w:rPr>
                <w:rFonts w:asciiTheme="majorHAnsi" w:eastAsia="Times New Roman" w:hAnsiTheme="majorHAnsi" w:cstheme="majorHAnsi"/>
                <w:b w:val="0"/>
                <w:bCs w:val="0"/>
                <w:sz w:val="16"/>
                <w:szCs w:val="16"/>
                <w:lang w:eastAsia="pl-PL"/>
              </w:rPr>
              <w:t>Cyców</w:t>
            </w:r>
          </w:p>
        </w:tc>
        <w:tc>
          <w:tcPr>
            <w:tcW w:w="1186" w:type="dxa"/>
            <w:tcBorders>
              <w:top w:val="nil"/>
              <w:left w:val="single" w:sz="4" w:space="0" w:color="5B9BD5"/>
              <w:bottom w:val="nil"/>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36 353 065,94</w:t>
            </w:r>
          </w:p>
        </w:tc>
        <w:tc>
          <w:tcPr>
            <w:tcW w:w="1185" w:type="dxa"/>
            <w:tcBorders>
              <w:top w:val="nil"/>
              <w:bottom w:val="nil"/>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42 645 566,98</w:t>
            </w:r>
          </w:p>
        </w:tc>
        <w:tc>
          <w:tcPr>
            <w:tcW w:w="1186" w:type="dxa"/>
            <w:tcBorders>
              <w:top w:val="nil"/>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61 305 879,04</w:t>
            </w:r>
          </w:p>
        </w:tc>
        <w:tc>
          <w:tcPr>
            <w:tcW w:w="773"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6"/>
                <w:szCs w:val="16"/>
                <w:lang w:eastAsia="pl-PL"/>
              </w:rPr>
            </w:pPr>
            <w:r>
              <w:rPr>
                <w:rFonts w:asciiTheme="majorHAnsi" w:eastAsia="Times New Roman" w:hAnsiTheme="majorHAnsi" w:cstheme="majorHAnsi"/>
                <w:i/>
                <w:iCs/>
                <w:sz w:val="16"/>
                <w:szCs w:val="16"/>
                <w:lang w:eastAsia="pl-PL"/>
              </w:rPr>
              <w:t>68,6%</w:t>
            </w:r>
          </w:p>
        </w:tc>
        <w:tc>
          <w:tcPr>
            <w:tcW w:w="1173" w:type="dxa"/>
            <w:tcBorders>
              <w:top w:val="nil"/>
              <w:left w:val="single" w:sz="4" w:space="0" w:color="5B9BD5"/>
              <w:bottom w:val="nil"/>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36 117 758,22</w:t>
            </w:r>
          </w:p>
        </w:tc>
        <w:tc>
          <w:tcPr>
            <w:tcW w:w="1176" w:type="dxa"/>
            <w:tcBorders>
              <w:top w:val="nil"/>
              <w:bottom w:val="nil"/>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46 765 489,35</w:t>
            </w:r>
          </w:p>
        </w:tc>
        <w:tc>
          <w:tcPr>
            <w:tcW w:w="1175" w:type="dxa"/>
            <w:tcBorders>
              <w:top w:val="nil"/>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51 504 041,14</w:t>
            </w:r>
          </w:p>
        </w:tc>
        <w:tc>
          <w:tcPr>
            <w:tcW w:w="799"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6"/>
                <w:szCs w:val="16"/>
                <w:lang w:eastAsia="pl-PL"/>
              </w:rPr>
            </w:pPr>
            <w:r>
              <w:rPr>
                <w:rFonts w:asciiTheme="majorHAnsi" w:eastAsia="Times New Roman" w:hAnsiTheme="majorHAnsi" w:cstheme="majorHAnsi"/>
                <w:i/>
                <w:iCs/>
                <w:sz w:val="16"/>
                <w:szCs w:val="16"/>
                <w:lang w:eastAsia="pl-PL"/>
              </w:rPr>
              <w:t>42,6%</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dxa"/>
            <w:tcBorders>
              <w:top w:val="nil"/>
              <w:left w:val="single" w:sz="4" w:space="0" w:color="5B9BD5"/>
              <w:bottom w:val="nil"/>
              <w:right w:val="single" w:sz="4" w:space="0" w:color="5B9BD5"/>
            </w:tcBorders>
          </w:tcPr>
          <w:p w:rsidR="00DC75FA" w:rsidRDefault="00887D84">
            <w:pPr>
              <w:spacing w:after="0" w:line="240" w:lineRule="auto"/>
              <w:jc w:val="center"/>
              <w:rPr>
                <w:rFonts w:asciiTheme="majorHAnsi" w:eastAsia="Times New Roman" w:hAnsiTheme="majorHAnsi" w:cstheme="majorHAnsi"/>
                <w:b w:val="0"/>
                <w:bCs w:val="0"/>
                <w:sz w:val="16"/>
                <w:szCs w:val="16"/>
                <w:lang w:eastAsia="pl-PL"/>
              </w:rPr>
            </w:pPr>
            <w:r>
              <w:rPr>
                <w:rFonts w:asciiTheme="majorHAnsi" w:eastAsia="Times New Roman" w:hAnsiTheme="majorHAnsi" w:cstheme="majorHAnsi"/>
                <w:b w:val="0"/>
                <w:bCs w:val="0"/>
                <w:sz w:val="16"/>
                <w:szCs w:val="16"/>
                <w:lang w:eastAsia="pl-PL"/>
              </w:rPr>
              <w:t>Puchaczów</w:t>
            </w:r>
          </w:p>
        </w:tc>
        <w:tc>
          <w:tcPr>
            <w:tcW w:w="1186" w:type="dxa"/>
            <w:tcBorders>
              <w:top w:val="nil"/>
              <w:left w:val="single" w:sz="4" w:space="0" w:color="5B9BD5"/>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40 375 409,56</w:t>
            </w:r>
          </w:p>
        </w:tc>
        <w:tc>
          <w:tcPr>
            <w:tcW w:w="1185" w:type="dxa"/>
            <w:tcBorders>
              <w:top w:val="nil"/>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41 885 845,23</w:t>
            </w:r>
          </w:p>
        </w:tc>
        <w:tc>
          <w:tcPr>
            <w:tcW w:w="1186" w:type="dxa"/>
            <w:tcBorders>
              <w:top w:val="nil"/>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52 520 601,74</w:t>
            </w:r>
          </w:p>
        </w:tc>
        <w:tc>
          <w:tcPr>
            <w:tcW w:w="773" w:type="dxa"/>
            <w:tcBorders>
              <w:top w:val="nil"/>
              <w:left w:val="single" w:sz="4" w:space="0" w:color="5B9BD5"/>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16"/>
                <w:szCs w:val="16"/>
                <w:lang w:eastAsia="pl-PL"/>
              </w:rPr>
            </w:pPr>
            <w:r>
              <w:rPr>
                <w:rFonts w:asciiTheme="majorHAnsi" w:eastAsia="Times New Roman" w:hAnsiTheme="majorHAnsi" w:cstheme="majorHAnsi"/>
                <w:i/>
                <w:iCs/>
                <w:sz w:val="16"/>
                <w:szCs w:val="16"/>
                <w:lang w:eastAsia="pl-PL"/>
              </w:rPr>
              <w:t>30,1%</w:t>
            </w:r>
          </w:p>
        </w:tc>
        <w:tc>
          <w:tcPr>
            <w:tcW w:w="1173" w:type="dxa"/>
            <w:tcBorders>
              <w:top w:val="nil"/>
              <w:left w:val="single" w:sz="4" w:space="0" w:color="5B9BD5"/>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38 680 708,16</w:t>
            </w:r>
          </w:p>
        </w:tc>
        <w:tc>
          <w:tcPr>
            <w:tcW w:w="1176" w:type="dxa"/>
            <w:tcBorders>
              <w:top w:val="nil"/>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44 091 255,64</w:t>
            </w:r>
          </w:p>
        </w:tc>
        <w:tc>
          <w:tcPr>
            <w:tcW w:w="1175" w:type="dxa"/>
            <w:tcBorders>
              <w:top w:val="nil"/>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45 041 499,03</w:t>
            </w:r>
          </w:p>
        </w:tc>
        <w:tc>
          <w:tcPr>
            <w:tcW w:w="799" w:type="dxa"/>
            <w:tcBorders>
              <w:top w:val="nil"/>
              <w:left w:val="single" w:sz="4" w:space="0" w:color="5B9BD5"/>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16"/>
                <w:szCs w:val="16"/>
                <w:lang w:eastAsia="pl-PL"/>
              </w:rPr>
            </w:pPr>
            <w:r>
              <w:rPr>
                <w:rFonts w:asciiTheme="majorHAnsi" w:eastAsia="Times New Roman" w:hAnsiTheme="majorHAnsi" w:cstheme="majorHAnsi"/>
                <w:i/>
                <w:iCs/>
                <w:sz w:val="16"/>
                <w:szCs w:val="16"/>
                <w:lang w:eastAsia="pl-PL"/>
              </w:rPr>
              <w:t>16,4%</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84"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rPr>
                <w:rFonts w:asciiTheme="majorHAnsi" w:eastAsia="Times New Roman" w:hAnsiTheme="majorHAnsi" w:cstheme="majorHAnsi"/>
                <w:b w:val="0"/>
                <w:bCs w:val="0"/>
                <w:sz w:val="16"/>
                <w:szCs w:val="16"/>
                <w:lang w:eastAsia="pl-PL"/>
              </w:rPr>
            </w:pPr>
            <w:r>
              <w:rPr>
                <w:rFonts w:asciiTheme="majorHAnsi" w:eastAsia="Times New Roman" w:hAnsiTheme="majorHAnsi" w:cstheme="majorHAnsi"/>
                <w:b w:val="0"/>
                <w:bCs w:val="0"/>
                <w:sz w:val="16"/>
                <w:szCs w:val="16"/>
                <w:lang w:eastAsia="pl-PL"/>
              </w:rPr>
              <w:t>Milejów</w:t>
            </w:r>
          </w:p>
        </w:tc>
        <w:tc>
          <w:tcPr>
            <w:tcW w:w="1186" w:type="dxa"/>
            <w:tcBorders>
              <w:top w:val="nil"/>
              <w:left w:val="single" w:sz="4" w:space="0" w:color="5B9BD5"/>
              <w:bottom w:val="nil"/>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35 425 475,03</w:t>
            </w:r>
          </w:p>
        </w:tc>
        <w:tc>
          <w:tcPr>
            <w:tcW w:w="1185" w:type="dxa"/>
            <w:tcBorders>
              <w:top w:val="nil"/>
              <w:bottom w:val="nil"/>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44 569 541,07</w:t>
            </w:r>
          </w:p>
        </w:tc>
        <w:tc>
          <w:tcPr>
            <w:tcW w:w="1186" w:type="dxa"/>
            <w:tcBorders>
              <w:top w:val="nil"/>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47 603 829,42</w:t>
            </w:r>
          </w:p>
        </w:tc>
        <w:tc>
          <w:tcPr>
            <w:tcW w:w="773"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6"/>
                <w:szCs w:val="16"/>
                <w:lang w:eastAsia="pl-PL"/>
              </w:rPr>
            </w:pPr>
            <w:r>
              <w:rPr>
                <w:rFonts w:asciiTheme="majorHAnsi" w:eastAsia="Times New Roman" w:hAnsiTheme="majorHAnsi" w:cstheme="majorHAnsi"/>
                <w:i/>
                <w:iCs/>
                <w:sz w:val="16"/>
                <w:szCs w:val="16"/>
                <w:lang w:eastAsia="pl-PL"/>
              </w:rPr>
              <w:t>34,4%</w:t>
            </w:r>
          </w:p>
        </w:tc>
        <w:tc>
          <w:tcPr>
            <w:tcW w:w="1173" w:type="dxa"/>
            <w:tcBorders>
              <w:top w:val="nil"/>
              <w:left w:val="single" w:sz="4" w:space="0" w:color="5B9BD5"/>
              <w:bottom w:val="nil"/>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35 816 208,78</w:t>
            </w:r>
          </w:p>
        </w:tc>
        <w:tc>
          <w:tcPr>
            <w:tcW w:w="1176" w:type="dxa"/>
            <w:tcBorders>
              <w:top w:val="nil"/>
              <w:bottom w:val="nil"/>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49 922 371,22</w:t>
            </w:r>
          </w:p>
        </w:tc>
        <w:tc>
          <w:tcPr>
            <w:tcW w:w="1175" w:type="dxa"/>
            <w:tcBorders>
              <w:top w:val="nil"/>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52 643 498,45</w:t>
            </w:r>
          </w:p>
        </w:tc>
        <w:tc>
          <w:tcPr>
            <w:tcW w:w="799" w:type="dxa"/>
            <w:tcBorders>
              <w:top w:val="nil"/>
              <w:left w:val="single" w:sz="4" w:space="0" w:color="5B9BD5"/>
              <w:bottom w:val="nil"/>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6"/>
                <w:szCs w:val="16"/>
                <w:lang w:eastAsia="pl-PL"/>
              </w:rPr>
            </w:pPr>
            <w:r>
              <w:rPr>
                <w:rFonts w:asciiTheme="majorHAnsi" w:eastAsia="Times New Roman" w:hAnsiTheme="majorHAnsi" w:cstheme="majorHAnsi"/>
                <w:i/>
                <w:iCs/>
                <w:sz w:val="16"/>
                <w:szCs w:val="16"/>
                <w:lang w:eastAsia="pl-PL"/>
              </w:rPr>
              <w:t>47,0%</w:t>
            </w:r>
          </w:p>
        </w:tc>
      </w:tr>
      <w:tr w:rsidR="00DC75FA" w:rsidTr="00DC75F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dxa"/>
            <w:tcBorders>
              <w:top w:val="nil"/>
              <w:left w:val="single" w:sz="4" w:space="0" w:color="5B9BD5"/>
              <w:bottom w:val="nil"/>
              <w:right w:val="single" w:sz="4" w:space="0" w:color="5B9BD5"/>
            </w:tcBorders>
          </w:tcPr>
          <w:p w:rsidR="00DC75FA" w:rsidRDefault="00887D84">
            <w:pPr>
              <w:spacing w:after="0" w:line="240" w:lineRule="auto"/>
              <w:jc w:val="center"/>
              <w:rPr>
                <w:rFonts w:asciiTheme="majorHAnsi" w:eastAsia="Times New Roman" w:hAnsiTheme="majorHAnsi" w:cstheme="majorHAnsi"/>
                <w:b w:val="0"/>
                <w:bCs w:val="0"/>
                <w:sz w:val="16"/>
                <w:szCs w:val="16"/>
                <w:lang w:eastAsia="pl-PL"/>
              </w:rPr>
            </w:pPr>
            <w:r>
              <w:rPr>
                <w:rFonts w:asciiTheme="majorHAnsi" w:eastAsia="Times New Roman" w:hAnsiTheme="majorHAnsi" w:cstheme="majorHAnsi"/>
                <w:b w:val="0"/>
                <w:bCs w:val="0"/>
                <w:sz w:val="16"/>
                <w:szCs w:val="16"/>
                <w:lang w:eastAsia="pl-PL"/>
              </w:rPr>
              <w:t>Ludwin</w:t>
            </w:r>
          </w:p>
        </w:tc>
        <w:tc>
          <w:tcPr>
            <w:tcW w:w="1186" w:type="dxa"/>
            <w:tcBorders>
              <w:top w:val="nil"/>
              <w:left w:val="single" w:sz="4" w:space="0" w:color="5B9BD5"/>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24 775 548,78</w:t>
            </w:r>
          </w:p>
        </w:tc>
        <w:tc>
          <w:tcPr>
            <w:tcW w:w="1185" w:type="dxa"/>
            <w:tcBorders>
              <w:top w:val="nil"/>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25 568 095,25</w:t>
            </w:r>
          </w:p>
        </w:tc>
        <w:tc>
          <w:tcPr>
            <w:tcW w:w="1186" w:type="dxa"/>
            <w:tcBorders>
              <w:top w:val="nil"/>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30 800 952,53</w:t>
            </w:r>
          </w:p>
        </w:tc>
        <w:tc>
          <w:tcPr>
            <w:tcW w:w="773" w:type="dxa"/>
            <w:tcBorders>
              <w:top w:val="nil"/>
              <w:left w:val="single" w:sz="4" w:space="0" w:color="5B9BD5"/>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16"/>
                <w:szCs w:val="16"/>
                <w:lang w:eastAsia="pl-PL"/>
              </w:rPr>
            </w:pPr>
            <w:r>
              <w:rPr>
                <w:rFonts w:asciiTheme="majorHAnsi" w:eastAsia="Times New Roman" w:hAnsiTheme="majorHAnsi" w:cstheme="majorHAnsi"/>
                <w:i/>
                <w:iCs/>
                <w:sz w:val="16"/>
                <w:szCs w:val="16"/>
                <w:lang w:eastAsia="pl-PL"/>
              </w:rPr>
              <w:t>24,3%</w:t>
            </w:r>
          </w:p>
        </w:tc>
        <w:tc>
          <w:tcPr>
            <w:tcW w:w="1173" w:type="dxa"/>
            <w:tcBorders>
              <w:top w:val="nil"/>
              <w:left w:val="single" w:sz="4" w:space="0" w:color="5B9BD5"/>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24 225 821,48</w:t>
            </w:r>
          </w:p>
        </w:tc>
        <w:tc>
          <w:tcPr>
            <w:tcW w:w="1176" w:type="dxa"/>
            <w:tcBorders>
              <w:top w:val="nil"/>
              <w:bottom w:val="nil"/>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25 458 884,59</w:t>
            </w:r>
          </w:p>
        </w:tc>
        <w:tc>
          <w:tcPr>
            <w:tcW w:w="1175" w:type="dxa"/>
            <w:tcBorders>
              <w:top w:val="nil"/>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28 669 640,61</w:t>
            </w:r>
          </w:p>
        </w:tc>
        <w:tc>
          <w:tcPr>
            <w:tcW w:w="799" w:type="dxa"/>
            <w:tcBorders>
              <w:top w:val="nil"/>
              <w:left w:val="single" w:sz="4" w:space="0" w:color="5B9BD5"/>
              <w:bottom w:val="nil"/>
              <w:right w:val="single" w:sz="4" w:space="0" w:color="5B9BD5"/>
            </w:tcBorders>
          </w:tcPr>
          <w:p w:rsidR="00DC75FA" w:rsidRDefault="00887D8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i/>
                <w:iCs/>
                <w:sz w:val="16"/>
                <w:szCs w:val="16"/>
                <w:lang w:eastAsia="pl-PL"/>
              </w:rPr>
            </w:pPr>
            <w:r>
              <w:rPr>
                <w:rFonts w:asciiTheme="majorHAnsi" w:eastAsia="Times New Roman" w:hAnsiTheme="majorHAnsi" w:cstheme="majorHAnsi"/>
                <w:i/>
                <w:iCs/>
                <w:sz w:val="16"/>
                <w:szCs w:val="16"/>
                <w:lang w:eastAsia="pl-PL"/>
              </w:rPr>
              <w:t>18,3%</w:t>
            </w:r>
          </w:p>
        </w:tc>
      </w:tr>
      <w:tr w:rsidR="00DC75FA" w:rsidTr="00DC75FA">
        <w:trPr>
          <w:trHeight w:val="20"/>
        </w:trPr>
        <w:tc>
          <w:tcPr>
            <w:cnfStyle w:val="001000000000" w:firstRow="0" w:lastRow="0" w:firstColumn="1" w:lastColumn="0" w:oddVBand="0" w:evenVBand="0" w:oddHBand="0" w:evenHBand="0" w:firstRowFirstColumn="0" w:firstRowLastColumn="0" w:lastRowFirstColumn="0" w:lastRowLastColumn="0"/>
            <w:tcW w:w="984" w:type="dxa"/>
            <w:tcBorders>
              <w:top w:val="nil"/>
              <w:left w:val="single" w:sz="4" w:space="0" w:color="5B9BD5"/>
              <w:bottom w:val="single" w:sz="4" w:space="0" w:color="5B9BD5"/>
              <w:right w:val="single" w:sz="4" w:space="0" w:color="5B9BD5"/>
            </w:tcBorders>
            <w:shd w:val="clear" w:color="auto" w:fill="auto"/>
          </w:tcPr>
          <w:p w:rsidR="00DC75FA" w:rsidRDefault="00887D84">
            <w:pPr>
              <w:spacing w:after="0" w:line="240" w:lineRule="auto"/>
              <w:jc w:val="center"/>
              <w:rPr>
                <w:rFonts w:asciiTheme="majorHAnsi" w:eastAsia="Times New Roman" w:hAnsiTheme="majorHAnsi" w:cstheme="majorHAnsi"/>
                <w:b w:val="0"/>
                <w:bCs w:val="0"/>
                <w:sz w:val="16"/>
                <w:szCs w:val="16"/>
                <w:lang w:eastAsia="pl-PL"/>
              </w:rPr>
            </w:pPr>
            <w:r>
              <w:rPr>
                <w:rFonts w:asciiTheme="majorHAnsi" w:eastAsia="Times New Roman" w:hAnsiTheme="majorHAnsi" w:cstheme="majorHAnsi"/>
                <w:b w:val="0"/>
                <w:bCs w:val="0"/>
                <w:sz w:val="16"/>
                <w:szCs w:val="16"/>
                <w:lang w:eastAsia="pl-PL"/>
              </w:rPr>
              <w:t>Urszulin</w:t>
            </w:r>
          </w:p>
        </w:tc>
        <w:tc>
          <w:tcPr>
            <w:tcW w:w="1186" w:type="dxa"/>
            <w:tcBorders>
              <w:top w:val="nil"/>
              <w:left w:val="single" w:sz="4" w:space="0" w:color="5B9BD5"/>
              <w:bottom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18 910 894,18</w:t>
            </w:r>
          </w:p>
        </w:tc>
        <w:tc>
          <w:tcPr>
            <w:tcW w:w="1185" w:type="dxa"/>
            <w:tcBorders>
              <w:top w:val="nil"/>
              <w:bottom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22 620 133,83</w:t>
            </w:r>
          </w:p>
        </w:tc>
        <w:tc>
          <w:tcPr>
            <w:tcW w:w="1186" w:type="dxa"/>
            <w:tcBorders>
              <w:top w:val="nil"/>
              <w:bottom w:val="single" w:sz="4" w:space="0" w:color="5B9BD5"/>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25 986 265,57</w:t>
            </w:r>
          </w:p>
        </w:tc>
        <w:tc>
          <w:tcPr>
            <w:tcW w:w="773" w:type="dxa"/>
            <w:tcBorders>
              <w:top w:val="nil"/>
              <w:left w:val="single" w:sz="4" w:space="0" w:color="5B9BD5"/>
              <w:bottom w:val="single" w:sz="4" w:space="0" w:color="5B9BD5"/>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6"/>
                <w:szCs w:val="16"/>
                <w:lang w:eastAsia="pl-PL"/>
              </w:rPr>
            </w:pPr>
            <w:r>
              <w:rPr>
                <w:rFonts w:asciiTheme="majorHAnsi" w:eastAsia="Times New Roman" w:hAnsiTheme="majorHAnsi" w:cstheme="majorHAnsi"/>
                <w:i/>
                <w:iCs/>
                <w:sz w:val="16"/>
                <w:szCs w:val="16"/>
                <w:lang w:eastAsia="pl-PL"/>
              </w:rPr>
              <w:t>37,4%</w:t>
            </w:r>
          </w:p>
        </w:tc>
        <w:tc>
          <w:tcPr>
            <w:tcW w:w="1173" w:type="dxa"/>
            <w:tcBorders>
              <w:top w:val="nil"/>
              <w:left w:val="single" w:sz="4" w:space="0" w:color="5B9BD5"/>
              <w:bottom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18 485 961,32</w:t>
            </w:r>
          </w:p>
        </w:tc>
        <w:tc>
          <w:tcPr>
            <w:tcW w:w="1176" w:type="dxa"/>
            <w:tcBorders>
              <w:top w:val="nil"/>
              <w:bottom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22 750 567,31</w:t>
            </w:r>
          </w:p>
        </w:tc>
        <w:tc>
          <w:tcPr>
            <w:tcW w:w="1175" w:type="dxa"/>
            <w:tcBorders>
              <w:top w:val="nil"/>
              <w:bottom w:val="single" w:sz="4" w:space="0" w:color="5B9BD5"/>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6"/>
                <w:szCs w:val="16"/>
                <w:lang w:eastAsia="pl-PL"/>
              </w:rPr>
            </w:pPr>
            <w:r>
              <w:rPr>
                <w:rFonts w:asciiTheme="majorHAnsi" w:eastAsia="Times New Roman" w:hAnsiTheme="majorHAnsi" w:cstheme="majorHAnsi"/>
                <w:sz w:val="16"/>
                <w:szCs w:val="16"/>
                <w:lang w:eastAsia="pl-PL"/>
              </w:rPr>
              <w:t>28 418 055,40</w:t>
            </w:r>
          </w:p>
        </w:tc>
        <w:tc>
          <w:tcPr>
            <w:tcW w:w="799" w:type="dxa"/>
            <w:tcBorders>
              <w:top w:val="nil"/>
              <w:left w:val="single" w:sz="4" w:space="0" w:color="5B9BD5"/>
              <w:bottom w:val="single" w:sz="4" w:space="0" w:color="5B9BD5"/>
              <w:right w:val="single" w:sz="4" w:space="0" w:color="5B9BD5"/>
            </w:tcBorders>
            <w:shd w:val="clear" w:color="auto" w:fill="auto"/>
          </w:tcPr>
          <w:p w:rsidR="00DC75FA" w:rsidRDefault="00887D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i/>
                <w:iCs/>
                <w:sz w:val="16"/>
                <w:szCs w:val="16"/>
                <w:lang w:eastAsia="pl-PL"/>
              </w:rPr>
            </w:pPr>
            <w:r>
              <w:rPr>
                <w:rFonts w:asciiTheme="majorHAnsi" w:eastAsia="Times New Roman" w:hAnsiTheme="majorHAnsi" w:cstheme="majorHAnsi"/>
                <w:i/>
                <w:iCs/>
                <w:sz w:val="16"/>
                <w:szCs w:val="16"/>
                <w:lang w:eastAsia="pl-PL"/>
              </w:rPr>
              <w:t>53,7%</w:t>
            </w:r>
          </w:p>
        </w:tc>
      </w:tr>
    </w:tbl>
    <w:p w:rsidR="00DC75FA" w:rsidRDefault="00DC75FA">
      <w:pPr>
        <w:sectPr w:rsidR="00DC75FA">
          <w:headerReference w:type="default" r:id="rId140"/>
          <w:footerReference w:type="default" r:id="rId141"/>
          <w:pgSz w:w="11906" w:h="16838"/>
          <w:pgMar w:top="1134" w:right="1134" w:bottom="1134" w:left="1134" w:header="709" w:footer="709" w:gutter="0"/>
          <w:pgNumType w:start="1"/>
          <w:cols w:space="708"/>
          <w:formProt w:val="0"/>
          <w:docGrid w:linePitch="360" w:charSpace="4096"/>
        </w:sectPr>
      </w:pPr>
    </w:p>
    <w:p w:rsidR="00DC75FA" w:rsidRDefault="00887D84">
      <w:pPr>
        <w:pStyle w:val="aaapodpis"/>
      </w:pPr>
      <w:bookmarkStart w:id="192" w:name="_Toc75899530"/>
      <w:r>
        <w:lastRenderedPageBreak/>
        <w:t>Wykres 65: Dochody budżetów gmin wchodzących w skład OF wg działów Klasyfikacji Budżetowej w latach 2017-2019</w:t>
      </w:r>
      <w:bookmarkEnd w:id="192"/>
    </w:p>
    <w:p w:rsidR="00DC75FA" w:rsidRDefault="00887D84">
      <w:pPr>
        <w:pStyle w:val="aaardo"/>
        <w:keepNext/>
      </w:pPr>
      <w:r>
        <w:rPr>
          <w:noProof/>
          <w:lang w:eastAsia="pl-PL"/>
        </w:rPr>
        <w:drawing>
          <wp:inline distT="0" distB="0" distL="0" distR="0">
            <wp:extent cx="9251950" cy="5624195"/>
            <wp:effectExtent l="0" t="0" r="0" b="0"/>
            <wp:docPr id="114" name="Wykres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DC75FA" w:rsidRDefault="00887D84">
      <w:pPr>
        <w:pStyle w:val="aaardo"/>
      </w:pPr>
      <w:r>
        <w:t>Źródło: opracowanie własne na podstawie danych GUS – Bank Danych Lokalnych.</w:t>
      </w:r>
    </w:p>
    <w:p w:rsidR="00DC75FA" w:rsidRDefault="00887D84">
      <w:pPr>
        <w:pStyle w:val="aaapodpis"/>
      </w:pPr>
      <w:bookmarkStart w:id="193" w:name="_Toc75899531"/>
      <w:r>
        <w:lastRenderedPageBreak/>
        <w:t>Wykres 66: Wydatki budżetów gmin wchodzących w skład OF wg działów Klasyfikacji Budżetowej w latach 2017-2019</w:t>
      </w:r>
      <w:bookmarkEnd w:id="193"/>
    </w:p>
    <w:p w:rsidR="00DC75FA" w:rsidRDefault="00887D84">
      <w:r>
        <w:rPr>
          <w:noProof/>
          <w:lang w:eastAsia="pl-PL"/>
        </w:rPr>
        <w:drawing>
          <wp:inline distT="0" distB="0" distL="0" distR="0">
            <wp:extent cx="9307830" cy="5710555"/>
            <wp:effectExtent l="0" t="0" r="0" b="0"/>
            <wp:docPr id="115" name="Wykres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DC75FA" w:rsidRDefault="00887D84">
      <w:pPr>
        <w:pStyle w:val="aaardo"/>
      </w:pPr>
      <w:r>
        <w:t>Źródło: opracowanie własne na podstawie danych GUS – Bank Danych Lokalnych</w:t>
      </w:r>
    </w:p>
    <w:p w:rsidR="00DC75FA" w:rsidRDefault="00DC75FA"/>
    <w:tbl>
      <w:tblPr>
        <w:tblStyle w:val="Jasnecieniowanieakcent11"/>
        <w:tblW w:w="5000" w:type="pct"/>
        <w:tblLook w:val="04A0" w:firstRow="1" w:lastRow="0" w:firstColumn="1" w:lastColumn="0" w:noHBand="0" w:noVBand="1"/>
      </w:tblPr>
      <w:tblGrid>
        <w:gridCol w:w="7392"/>
        <w:gridCol w:w="7394"/>
      </w:tblGrid>
      <w:tr w:rsidR="00DC75FA" w:rsidTr="00DC75FA">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4569"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rsidR="00DC75FA" w:rsidRDefault="00887D84">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Opis działów Klasyfikacji Budżetowej:</w:t>
            </w:r>
          </w:p>
        </w:tc>
      </w:tr>
      <w:tr w:rsidR="00DC75FA" w:rsidTr="00DC75F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010 - Rolnictwo i łowiectwo</w:t>
            </w:r>
          </w:p>
        </w:tc>
        <w:tc>
          <w:tcPr>
            <w:tcW w:w="7285" w:type="dxa"/>
            <w:tcBorders>
              <w:top w:val="single" w:sz="4" w:space="0" w:color="5B9BD5"/>
              <w:left w:val="single" w:sz="4" w:space="0" w:color="5B9BD5"/>
              <w:bottom w:val="nil"/>
              <w:right w:val="single" w:sz="4" w:space="0" w:color="5B9BD5"/>
            </w:tcBorders>
            <w:vAlign w:val="center"/>
          </w:tcPr>
          <w:p w:rsidR="00DC75FA" w:rsidRDefault="00887D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754 - Bezpieczeństwo publiczne i ochrona przeciwpożarowa</w:t>
            </w:r>
          </w:p>
        </w:tc>
      </w:tr>
      <w:tr w:rsidR="00DC75FA" w:rsidTr="00DC75FA">
        <w:trPr>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rPr>
                <w:rFonts w:ascii="Times New Roman" w:eastAsia="Times New Roman" w:hAnsi="Times New Roman" w:cs="Times New Roman"/>
                <w:color w:val="000000"/>
                <w:sz w:val="18"/>
                <w:szCs w:val="18"/>
                <w:lang w:eastAsia="pl-PL"/>
              </w:rPr>
            </w:pPr>
            <w:r>
              <w:rPr>
                <w:rFonts w:ascii="Times New Roman" w:eastAsia="Times New Roman" w:hAnsi="Times New Roman" w:cs="Times New Roman"/>
                <w:b w:val="0"/>
                <w:bCs w:val="0"/>
                <w:sz w:val="18"/>
                <w:szCs w:val="18"/>
                <w:lang w:eastAsia="pl-PL"/>
              </w:rPr>
              <w:t>Dział 020 - Leśnictwo</w:t>
            </w:r>
          </w:p>
        </w:tc>
        <w:tc>
          <w:tcPr>
            <w:tcW w:w="728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756 - Dochody od osób prawnych, od osób fizycznych i od innych jednostek nieposiadających osobowości prawnej oraz wydatki związane z ich poborem</w:t>
            </w:r>
          </w:p>
        </w:tc>
      </w:tr>
      <w:tr w:rsidR="00DC75FA" w:rsidTr="00DC75F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400 - Wytwarzanie i zaopatrywanie w energię elektryczną, gaz i wodę</w:t>
            </w:r>
          </w:p>
        </w:tc>
        <w:tc>
          <w:tcPr>
            <w:tcW w:w="7285" w:type="dxa"/>
            <w:tcBorders>
              <w:top w:val="nil"/>
              <w:left w:val="single" w:sz="4" w:space="0" w:color="5B9BD5"/>
              <w:bottom w:val="nil"/>
              <w:right w:val="single" w:sz="4" w:space="0" w:color="5B9BD5"/>
            </w:tcBorders>
            <w:vAlign w:val="center"/>
          </w:tcPr>
          <w:p w:rsidR="00DC75FA" w:rsidRDefault="00887D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757 - Obsługa długu publicznego</w:t>
            </w:r>
          </w:p>
        </w:tc>
      </w:tr>
      <w:tr w:rsidR="00DC75FA" w:rsidTr="00DC75FA">
        <w:trPr>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500 - Handel</w:t>
            </w:r>
          </w:p>
        </w:tc>
        <w:tc>
          <w:tcPr>
            <w:tcW w:w="728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758 - Różne rozliczenia</w:t>
            </w:r>
          </w:p>
        </w:tc>
      </w:tr>
      <w:tr w:rsidR="00DC75FA" w:rsidTr="00DC75F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550 - Hotele i restauracje</w:t>
            </w:r>
          </w:p>
        </w:tc>
        <w:tc>
          <w:tcPr>
            <w:tcW w:w="7285" w:type="dxa"/>
            <w:tcBorders>
              <w:top w:val="nil"/>
              <w:left w:val="single" w:sz="4" w:space="0" w:color="5B9BD5"/>
              <w:bottom w:val="nil"/>
              <w:right w:val="single" w:sz="4" w:space="0" w:color="5B9BD5"/>
            </w:tcBorders>
            <w:vAlign w:val="center"/>
          </w:tcPr>
          <w:p w:rsidR="00DC75FA" w:rsidRDefault="00887D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801 - Oświata i wychowanie</w:t>
            </w:r>
          </w:p>
        </w:tc>
      </w:tr>
      <w:tr w:rsidR="00DC75FA" w:rsidTr="00DC75FA">
        <w:trPr>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600 - Transport i łączność</w:t>
            </w:r>
          </w:p>
        </w:tc>
        <w:tc>
          <w:tcPr>
            <w:tcW w:w="728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851 - Ochrona zdrowia</w:t>
            </w:r>
          </w:p>
        </w:tc>
      </w:tr>
      <w:tr w:rsidR="00DC75FA" w:rsidTr="00DC75F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630 - Turystyka</w:t>
            </w:r>
          </w:p>
        </w:tc>
        <w:tc>
          <w:tcPr>
            <w:tcW w:w="7285" w:type="dxa"/>
            <w:tcBorders>
              <w:top w:val="nil"/>
              <w:left w:val="single" w:sz="4" w:space="0" w:color="5B9BD5"/>
              <w:bottom w:val="nil"/>
              <w:right w:val="single" w:sz="4" w:space="0" w:color="5B9BD5"/>
            </w:tcBorders>
            <w:vAlign w:val="center"/>
          </w:tcPr>
          <w:p w:rsidR="00DC75FA" w:rsidRDefault="00887D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852 - Pomoc społeczna</w:t>
            </w:r>
          </w:p>
        </w:tc>
      </w:tr>
      <w:tr w:rsidR="00DC75FA" w:rsidTr="00DC75FA">
        <w:trPr>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700 - Gospodarka mieszkaniowa</w:t>
            </w:r>
          </w:p>
        </w:tc>
        <w:tc>
          <w:tcPr>
            <w:tcW w:w="728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853 - Pozostałe zadania w zakresie polityki społecznej</w:t>
            </w:r>
          </w:p>
        </w:tc>
      </w:tr>
      <w:tr w:rsidR="00DC75FA" w:rsidTr="00DC75F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710 - Działalność usługowa</w:t>
            </w:r>
          </w:p>
        </w:tc>
        <w:tc>
          <w:tcPr>
            <w:tcW w:w="7285" w:type="dxa"/>
            <w:tcBorders>
              <w:top w:val="nil"/>
              <w:left w:val="single" w:sz="4" w:space="0" w:color="5B9BD5"/>
              <w:bottom w:val="nil"/>
              <w:right w:val="single" w:sz="4" w:space="0" w:color="5B9BD5"/>
            </w:tcBorders>
            <w:vAlign w:val="center"/>
          </w:tcPr>
          <w:p w:rsidR="00DC75FA" w:rsidRDefault="00887D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854 - Edukacyjna opieka wychowawcza</w:t>
            </w:r>
          </w:p>
        </w:tc>
      </w:tr>
      <w:tr w:rsidR="00DC75FA" w:rsidTr="00DC75FA">
        <w:trPr>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720 - Informatyka</w:t>
            </w:r>
          </w:p>
        </w:tc>
        <w:tc>
          <w:tcPr>
            <w:tcW w:w="728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855 - Rodzina</w:t>
            </w:r>
          </w:p>
        </w:tc>
      </w:tr>
      <w:tr w:rsidR="00DC75FA" w:rsidTr="00DC75F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750 - Administracja publiczna</w:t>
            </w:r>
          </w:p>
        </w:tc>
        <w:tc>
          <w:tcPr>
            <w:tcW w:w="7285" w:type="dxa"/>
            <w:tcBorders>
              <w:top w:val="nil"/>
              <w:left w:val="single" w:sz="4" w:space="0" w:color="5B9BD5"/>
              <w:bottom w:val="nil"/>
              <w:right w:val="single" w:sz="4" w:space="0" w:color="5B9BD5"/>
            </w:tcBorders>
            <w:vAlign w:val="center"/>
          </w:tcPr>
          <w:p w:rsidR="00DC75FA" w:rsidRDefault="00887D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900 - Gospodarka komunalna i ochrona środowiska</w:t>
            </w:r>
          </w:p>
        </w:tc>
      </w:tr>
      <w:tr w:rsidR="00DC75FA" w:rsidTr="00DC75FA">
        <w:trPr>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 xml:space="preserve">Dział 751 - Urzędy naczelnych organów władzy państwowej, kontroli i ochrony prawa </w:t>
            </w:r>
            <w:r>
              <w:rPr>
                <w:rFonts w:ascii="Times New Roman" w:eastAsia="Times New Roman" w:hAnsi="Times New Roman" w:cs="Times New Roman"/>
                <w:b w:val="0"/>
                <w:bCs w:val="0"/>
                <w:sz w:val="18"/>
                <w:szCs w:val="18"/>
                <w:lang w:eastAsia="pl-PL"/>
              </w:rPr>
              <w:br/>
              <w:t>oraz sądownictwa</w:t>
            </w:r>
          </w:p>
        </w:tc>
        <w:tc>
          <w:tcPr>
            <w:tcW w:w="7285" w:type="dxa"/>
            <w:tcBorders>
              <w:top w:val="nil"/>
              <w:left w:val="single" w:sz="4" w:space="0" w:color="5B9BD5"/>
              <w:bottom w:val="nil"/>
              <w:right w:val="single" w:sz="4" w:space="0" w:color="5B9BD5"/>
            </w:tcBorders>
            <w:shd w:val="clear" w:color="auto" w:fill="auto"/>
            <w:vAlign w:val="center"/>
          </w:tcPr>
          <w:p w:rsidR="00DC75FA" w:rsidRDefault="00887D8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921 - Kultura i ochrona dziedzictwa narodowego</w:t>
            </w:r>
          </w:p>
        </w:tc>
      </w:tr>
      <w:tr w:rsidR="00DC75FA" w:rsidTr="00DC75F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7284"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rPr>
                <w:rFonts w:ascii="Times New Roman" w:eastAsia="Times New Roman" w:hAnsi="Times New Roman" w:cs="Times New Roman"/>
                <w:b w:val="0"/>
                <w:bCs w:val="0"/>
                <w:color w:val="000000"/>
                <w:sz w:val="18"/>
                <w:szCs w:val="18"/>
                <w:lang w:eastAsia="pl-PL"/>
              </w:rPr>
            </w:pPr>
            <w:r>
              <w:rPr>
                <w:rFonts w:ascii="Times New Roman" w:eastAsia="Times New Roman" w:hAnsi="Times New Roman" w:cs="Times New Roman"/>
                <w:b w:val="0"/>
                <w:bCs w:val="0"/>
                <w:sz w:val="18"/>
                <w:szCs w:val="18"/>
                <w:lang w:eastAsia="pl-PL"/>
              </w:rPr>
              <w:t>Dział 752 - Obrona narodowa</w:t>
            </w:r>
          </w:p>
        </w:tc>
        <w:tc>
          <w:tcPr>
            <w:tcW w:w="7285" w:type="dxa"/>
            <w:tcBorders>
              <w:top w:val="nil"/>
              <w:left w:val="single" w:sz="4" w:space="0" w:color="5B9BD5"/>
              <w:bottom w:val="single" w:sz="4" w:space="0" w:color="5B9BD5"/>
              <w:right w:val="single" w:sz="4" w:space="0" w:color="5B9BD5"/>
            </w:tcBorders>
            <w:vAlign w:val="center"/>
          </w:tcPr>
          <w:p w:rsidR="00DC75FA" w:rsidRDefault="00887D8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pl-PL"/>
              </w:rPr>
            </w:pPr>
            <w:r>
              <w:rPr>
                <w:rFonts w:ascii="Times New Roman" w:eastAsia="Times New Roman" w:hAnsi="Times New Roman" w:cs="Times New Roman"/>
                <w:sz w:val="18"/>
                <w:szCs w:val="18"/>
                <w:lang w:eastAsia="pl-PL"/>
              </w:rPr>
              <w:t>Dział 926 - Kultura fizyczna</w:t>
            </w:r>
          </w:p>
        </w:tc>
      </w:tr>
    </w:tbl>
    <w:p w:rsidR="00DC75FA" w:rsidRDefault="00DC75FA"/>
    <w:p w:rsidR="00DC75FA" w:rsidRDefault="00DC75FA"/>
    <w:p w:rsidR="00DC75FA" w:rsidRDefault="00887D84">
      <w:pPr>
        <w:rPr>
          <w:rFonts w:ascii="Times New Roman" w:hAnsi="Times New Roman" w:cs="Times New Roman"/>
        </w:rPr>
      </w:pPr>
      <w:r>
        <w:rPr>
          <w:rFonts w:ascii="Times New Roman" w:hAnsi="Times New Roman" w:cs="Times New Roman"/>
        </w:rPr>
        <w:t xml:space="preserve">Jak wynika z analizy projektów dofinansowanych z programów operacyjnych poziomu krajowego i regionalnego, gminy nie miały problemów z pozyskaniem dofinansowania. Najwięcej projektów pozyskano z Regionalnego Programu Operacyjnego Województwa Lubelskiego na lata 2014-2020 na odnawialne źródła energii, termomodernizację budynków użyteczności publicznej, ochronę środowiska, gospodarkę wodno-ściekową czy rewitalizację obszarów wiejskich poprzez inwestycje w infrastrukturę społeczną. W ramach krajowych programów operacyjnych zrealizowano projekt </w:t>
      </w:r>
      <w:r>
        <w:rPr>
          <w:rFonts w:ascii="Times New Roman" w:hAnsi="Times New Roman" w:cs="Times New Roman"/>
          <w:i/>
          <w:iCs/>
        </w:rPr>
        <w:t>Budowa kanalizacji ścieków w aglomeracji Milejów wraz z poprawą efektywności energetycznej na obiekcie oczyszczalni ścieków poprzez zastosowanie energooszczędnych źródeł oświetlenia oraz urządzeń OZE do produkcji CWU</w:t>
      </w:r>
      <w:r>
        <w:rPr>
          <w:rFonts w:ascii="Times New Roman" w:hAnsi="Times New Roman" w:cs="Times New Roman"/>
        </w:rPr>
        <w:t xml:space="preserve"> (aglomeracja Milejów POIŚ 2014-2020).</w:t>
      </w:r>
    </w:p>
    <w:p w:rsidR="00DC75FA" w:rsidRDefault="00DC75FA">
      <w:pPr>
        <w:rPr>
          <w:rFonts w:ascii="Times New Roman" w:hAnsi="Times New Roman" w:cs="Times New Roman"/>
        </w:rPr>
        <w:sectPr w:rsidR="00DC75FA">
          <w:headerReference w:type="default" r:id="rId144"/>
          <w:footerReference w:type="default" r:id="rId145"/>
          <w:pgSz w:w="16838" w:h="11906" w:orient="landscape"/>
          <w:pgMar w:top="1134" w:right="1134" w:bottom="993" w:left="1134" w:header="709" w:footer="317" w:gutter="0"/>
          <w:cols w:space="708"/>
          <w:formProt w:val="0"/>
          <w:docGrid w:linePitch="360" w:charSpace="4096"/>
        </w:sectPr>
      </w:pPr>
    </w:p>
    <w:p w:rsidR="00DC75FA" w:rsidRDefault="00887D84">
      <w:pPr>
        <w:pStyle w:val="aaapodpis"/>
      </w:pPr>
      <w:bookmarkStart w:id="194" w:name="_Toc75899532"/>
      <w:r>
        <w:lastRenderedPageBreak/>
        <w:t xml:space="preserve">Wykres </w:t>
      </w:r>
      <w:r>
        <w:fldChar w:fldCharType="begin"/>
      </w:r>
      <w:r>
        <w:instrText>SEQ Wykres \* ARABIC</w:instrText>
      </w:r>
      <w:r>
        <w:fldChar w:fldCharType="separate"/>
      </w:r>
      <w:r>
        <w:t>33</w:t>
      </w:r>
      <w:r>
        <w:fldChar w:fldCharType="end"/>
      </w:r>
      <w:r>
        <w:t xml:space="preserve"> Środki z Unii Europejskiej pozyskane przez samorządy gmin współpracujących w ramach obszaru Zielone Zagłębie</w:t>
      </w:r>
      <w:bookmarkEnd w:id="194"/>
    </w:p>
    <w:p w:rsidR="00DC75FA" w:rsidRDefault="00887D84">
      <w:pPr>
        <w:rPr>
          <w:rFonts w:ascii="Times New Roman" w:hAnsi="Times New Roman" w:cs="Times New Roman"/>
        </w:rPr>
      </w:pPr>
      <w:r>
        <w:rPr>
          <w:noProof/>
          <w:lang w:eastAsia="pl-PL"/>
        </w:rPr>
        <w:drawing>
          <wp:inline distT="0" distB="0" distL="0" distR="0">
            <wp:extent cx="5850255" cy="3119755"/>
            <wp:effectExtent l="0" t="0" r="0" b="0"/>
            <wp:docPr id="116" name="Wykres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DC75FA" w:rsidRDefault="00887D84">
      <w:pPr>
        <w:pStyle w:val="Legenda"/>
        <w:rPr>
          <w:rFonts w:ascii="Times New Roman" w:hAnsi="Times New Roman" w:cs="Times New Roman"/>
        </w:rPr>
      </w:pPr>
      <w:r>
        <w:rPr>
          <w:rFonts w:ascii="Times New Roman" w:hAnsi="Times New Roman" w:cs="Times New Roman"/>
        </w:rPr>
        <w:t xml:space="preserve">Źródło: Opracowanie własne na podstawie danych SIMIK, funduszeeuropejskie.gov.pl </w:t>
      </w: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pPr>
    </w:p>
    <w:p w:rsidR="00DC75FA" w:rsidRDefault="00DC75FA">
      <w:pPr>
        <w:rPr>
          <w:rFonts w:ascii="Times New Roman" w:hAnsi="Times New Roman" w:cs="Times New Roman"/>
        </w:rPr>
        <w:sectPr w:rsidR="00DC75FA">
          <w:headerReference w:type="default" r:id="rId147"/>
          <w:footerReference w:type="default" r:id="rId148"/>
          <w:pgSz w:w="11906" w:h="16838"/>
          <w:pgMar w:top="1134" w:right="1134" w:bottom="1134" w:left="992" w:header="709" w:footer="318" w:gutter="0"/>
          <w:cols w:space="708"/>
          <w:formProt w:val="0"/>
          <w:docGrid w:linePitch="360" w:charSpace="4096"/>
        </w:sectPr>
      </w:pPr>
    </w:p>
    <w:p w:rsidR="00DC75FA" w:rsidRDefault="00887D84">
      <w:pPr>
        <w:pStyle w:val="Bezodstpw"/>
        <w:numPr>
          <w:ilvl w:val="0"/>
          <w:numId w:val="25"/>
        </w:numPr>
        <w:spacing w:after="240" w:line="276" w:lineRule="auto"/>
        <w:jc w:val="both"/>
        <w:outlineLvl w:val="2"/>
        <w:rPr>
          <w:rFonts w:ascii="Times New Roman" w:hAnsi="Times New Roman" w:cs="Times New Roman"/>
          <w:b/>
          <w:color w:val="5B9BD5" w:themeColor="accent1"/>
          <w:sz w:val="24"/>
          <w:szCs w:val="24"/>
        </w:rPr>
      </w:pPr>
      <w:bookmarkStart w:id="195" w:name="_Toc116896692"/>
      <w:bookmarkStart w:id="196" w:name="_Toc105754717"/>
      <w:bookmarkStart w:id="197" w:name="_Toc51676749"/>
      <w:r>
        <w:rPr>
          <w:rFonts w:ascii="Times New Roman" w:hAnsi="Times New Roman" w:cs="Times New Roman"/>
          <w:b/>
          <w:color w:val="5B9BD5" w:themeColor="accent1"/>
          <w:sz w:val="24"/>
          <w:szCs w:val="24"/>
        </w:rPr>
        <w:lastRenderedPageBreak/>
        <w:t>SYNTEZA DIAGNOZY OBECNEJ SYTUACJI OBSZARU FUNKCJONALNEGO</w:t>
      </w:r>
      <w:bookmarkEnd w:id="195"/>
      <w:bookmarkEnd w:id="196"/>
      <w:bookmarkEnd w:id="197"/>
    </w:p>
    <w:p w:rsidR="00DC75FA" w:rsidRDefault="00887D84">
      <w:pPr>
        <w:pStyle w:val="Standard"/>
        <w:spacing w:before="240" w:after="120" w:line="276" w:lineRule="auto"/>
        <w:jc w:val="both"/>
        <w:rPr>
          <w:rFonts w:cs="Times New Roman"/>
          <w:sz w:val="22"/>
          <w:szCs w:val="22"/>
          <w:u w:val="single"/>
        </w:rPr>
      </w:pPr>
      <w:r>
        <w:rPr>
          <w:rFonts w:cs="Times New Roman"/>
          <w:sz w:val="22"/>
          <w:szCs w:val="22"/>
          <w:u w:val="single"/>
        </w:rPr>
        <w:t>Obszar I: Społeczeństwo</w:t>
      </w:r>
    </w:p>
    <w:p w:rsidR="00DC75FA" w:rsidRDefault="00887D84">
      <w:pPr>
        <w:pStyle w:val="Standard"/>
        <w:numPr>
          <w:ilvl w:val="0"/>
          <w:numId w:val="46"/>
        </w:numPr>
        <w:spacing w:after="120" w:line="276" w:lineRule="auto"/>
        <w:contextualSpacing/>
        <w:jc w:val="both"/>
        <w:textAlignment w:val="auto"/>
        <w:rPr>
          <w:rFonts w:cs="Times New Roman"/>
          <w:sz w:val="22"/>
          <w:szCs w:val="22"/>
        </w:rPr>
      </w:pPr>
      <w:r>
        <w:rPr>
          <w:rFonts w:cs="Times New Roman"/>
          <w:bCs/>
          <w:sz w:val="22"/>
          <w:szCs w:val="22"/>
        </w:rPr>
        <w:t>Na koniec 2019 r. liczba ludności Obszaru Funkcjonalnego wyniosła 32 477 i była o 0,6 % wyższa niż w 2015 r. W analizowanym okresie, najliczniejszą populacją cechowała się Gmina Milejów, Gmina Cyców, Gmina Puchaczów oraz Gmina Ludwin. Najmniejszą liczbę mieszkańców posiadała Gmina Urszulin.</w:t>
      </w:r>
    </w:p>
    <w:p w:rsidR="00DC75FA" w:rsidRDefault="00887D84">
      <w:pPr>
        <w:pStyle w:val="Standard"/>
        <w:numPr>
          <w:ilvl w:val="0"/>
          <w:numId w:val="46"/>
        </w:numPr>
        <w:spacing w:line="276" w:lineRule="auto"/>
        <w:contextualSpacing/>
        <w:jc w:val="both"/>
        <w:textAlignment w:val="auto"/>
        <w:rPr>
          <w:rFonts w:cs="Times New Roman"/>
          <w:sz w:val="22"/>
          <w:szCs w:val="22"/>
        </w:rPr>
      </w:pPr>
      <w:r>
        <w:rPr>
          <w:rFonts w:cs="Times New Roman"/>
          <w:bCs/>
          <w:sz w:val="22"/>
          <w:szCs w:val="22"/>
        </w:rPr>
        <w:t>Średnia gęstość zaludnienia na terenie OF w latach 2015-2019 początkowo wzrastała i w 2018 r. wyniosła 52,8 osoby na 1 km</w:t>
      </w:r>
      <w:r>
        <w:rPr>
          <w:rFonts w:cs="Times New Roman"/>
          <w:bCs/>
          <w:sz w:val="22"/>
          <w:szCs w:val="22"/>
          <w:vertAlign w:val="superscript"/>
        </w:rPr>
        <w:t>2</w:t>
      </w:r>
      <w:r>
        <w:rPr>
          <w:rFonts w:cs="Times New Roman"/>
          <w:bCs/>
          <w:sz w:val="22"/>
          <w:szCs w:val="22"/>
        </w:rPr>
        <w:t>, po czym w kolejnym roku zmniejszyła się i wyniosła 52,6 osoby na 1 km</w:t>
      </w:r>
      <w:r>
        <w:rPr>
          <w:rFonts w:cs="Times New Roman"/>
          <w:bCs/>
          <w:sz w:val="22"/>
          <w:szCs w:val="22"/>
          <w:vertAlign w:val="superscript"/>
        </w:rPr>
        <w:t>2</w:t>
      </w:r>
      <w:r>
        <w:rPr>
          <w:rFonts w:cs="Times New Roman"/>
          <w:bCs/>
          <w:sz w:val="22"/>
          <w:szCs w:val="22"/>
        </w:rPr>
        <w:t>.</w:t>
      </w:r>
    </w:p>
    <w:p w:rsidR="00DC75FA" w:rsidRDefault="00887D84">
      <w:pPr>
        <w:pStyle w:val="Akapitzlist"/>
        <w:widowControl w:val="0"/>
        <w:numPr>
          <w:ilvl w:val="0"/>
          <w:numId w:val="46"/>
        </w:numPr>
        <w:suppressAutoHyphens/>
        <w:spacing w:after="0" w:line="276" w:lineRule="auto"/>
        <w:jc w:val="both"/>
        <w:rPr>
          <w:rFonts w:ascii="Times New Roman" w:hAnsi="Times New Roman" w:cs="Times New Roman"/>
        </w:rPr>
      </w:pPr>
      <w:r>
        <w:rPr>
          <w:rFonts w:ascii="Times New Roman" w:hAnsi="Times New Roman" w:cs="Times New Roman"/>
        </w:rPr>
        <w:t>Corocznie przyrost naturalny na 1 000 ludności w analizowanym okresie był dodatni. Największy przyrost naturalny odnotowano w 2016 roku (1,26) a najmniejszy w 2018 roku (wyniósł wówczas 0,1). W 2019 r. na 1000 ludności odnotowano 11,08 urodzeń żywych, 10,12 zgonów, a przyrost naturalny wyniósł 0,95.</w:t>
      </w:r>
    </w:p>
    <w:p w:rsidR="00DC75FA" w:rsidRDefault="00887D84">
      <w:pPr>
        <w:pStyle w:val="Standard"/>
        <w:numPr>
          <w:ilvl w:val="0"/>
          <w:numId w:val="46"/>
        </w:numPr>
        <w:spacing w:after="120" w:line="276" w:lineRule="auto"/>
        <w:contextualSpacing/>
        <w:jc w:val="both"/>
        <w:textAlignment w:val="auto"/>
        <w:rPr>
          <w:rFonts w:cs="Times New Roman"/>
          <w:sz w:val="22"/>
          <w:szCs w:val="22"/>
        </w:rPr>
      </w:pPr>
      <w:r>
        <w:rPr>
          <w:rFonts w:cs="Times New Roman"/>
          <w:sz w:val="22"/>
          <w:szCs w:val="22"/>
        </w:rPr>
        <w:t>W analizowanym okresie na obszarze OF do 2018 r. saldo migracji było dodatnie (w 2018 r. wynosiło 71), ujemne saldo migracji nastąpiło dopiero w 2019 r. różnica ta wyniosła -25 (o 65 osób mniej niż w 2016 r.).  W Gminie Cyców występuje najwyższe ujemne saldo migracji z wszystkich gmin z obszaru funkcjonalnego, Jedyne dodatnie wartości odnotowano w Gminie Ludwin (27, spadek o 19 w porównaniu do 2015 r.) oraz Puchaczów (spadek o 8, w 2019 r. saldo wynosiło 12).</w:t>
      </w:r>
    </w:p>
    <w:p w:rsidR="00DC75FA" w:rsidRDefault="00887D84">
      <w:pPr>
        <w:pStyle w:val="Standard"/>
        <w:numPr>
          <w:ilvl w:val="0"/>
          <w:numId w:val="46"/>
        </w:numPr>
        <w:spacing w:after="120" w:line="276" w:lineRule="auto"/>
        <w:contextualSpacing/>
        <w:jc w:val="both"/>
        <w:textAlignment w:val="auto"/>
        <w:rPr>
          <w:rFonts w:cs="Times New Roman"/>
          <w:sz w:val="22"/>
          <w:szCs w:val="22"/>
        </w:rPr>
      </w:pPr>
      <w:bookmarkStart w:id="198" w:name="Bookmark40"/>
      <w:r>
        <w:rPr>
          <w:rFonts w:cs="Times New Roman"/>
          <w:sz w:val="22"/>
          <w:szCs w:val="22"/>
        </w:rPr>
        <w:t>W latach 2015–2019 liczba pracujących ogółem na obszarze OF wahała i w 2019 r. wyniosła ponad 9,4 tys. osób</w:t>
      </w:r>
      <w:bookmarkEnd w:id="198"/>
      <w:r>
        <w:rPr>
          <w:rFonts w:cs="Times New Roman"/>
          <w:sz w:val="22"/>
          <w:szCs w:val="22"/>
        </w:rPr>
        <w:t xml:space="preserve"> – o 0,2 tys. mniej niż w 2015 r. Analiza struktury pracujących według płci jednoznacznie wskazuje na przewagę mężczyzn wśród osób zatrudnionych. W 2019 r. mężczyźni stanowili ponad 77% ogólnej liczby zatrudnionych na terenie OF.</w:t>
      </w:r>
    </w:p>
    <w:p w:rsidR="00DC75FA" w:rsidRDefault="00887D84">
      <w:pPr>
        <w:pStyle w:val="Standard"/>
        <w:numPr>
          <w:ilvl w:val="0"/>
          <w:numId w:val="46"/>
        </w:numPr>
        <w:spacing w:after="120" w:line="276" w:lineRule="auto"/>
        <w:ind w:left="357" w:hanging="357"/>
        <w:jc w:val="both"/>
        <w:textAlignment w:val="auto"/>
        <w:rPr>
          <w:rFonts w:cs="Times New Roman"/>
          <w:sz w:val="22"/>
          <w:szCs w:val="22"/>
        </w:rPr>
      </w:pPr>
      <w:r>
        <w:rPr>
          <w:rFonts w:cs="Times New Roman"/>
          <w:sz w:val="22"/>
          <w:szCs w:val="22"/>
        </w:rPr>
        <w:t>W analizowanym okresie liczba zarejestrowanych osób bezrobotnych na obszarze OF uległa obniżeniu – w 2019 r. wyniosła 903 osoby, co w porównaniu z 2015 r., kiedy zarejestrowane były 1 383 osoby, daje spadek o 35%. Pod względem płci w każdym z analizowanych lat wśród zarejestrowanych osób bezrobotnych dominowały kobiety (w 2019 r. stanowiły 58%).</w:t>
      </w:r>
    </w:p>
    <w:p w:rsidR="00DC75FA" w:rsidRDefault="00887D84">
      <w:pPr>
        <w:pStyle w:val="Standard"/>
        <w:spacing w:before="240" w:after="120" w:line="276" w:lineRule="auto"/>
        <w:jc w:val="both"/>
        <w:rPr>
          <w:rFonts w:cs="Times New Roman"/>
          <w:sz w:val="22"/>
          <w:szCs w:val="22"/>
          <w:u w:val="single"/>
        </w:rPr>
      </w:pPr>
      <w:r>
        <w:rPr>
          <w:rFonts w:cs="Times New Roman"/>
          <w:sz w:val="22"/>
          <w:szCs w:val="22"/>
          <w:u w:val="single"/>
        </w:rPr>
        <w:t>Obszar II: Szkolnictwo i wychowanie</w:t>
      </w:r>
    </w:p>
    <w:p w:rsidR="00DC75FA" w:rsidRDefault="00887D84">
      <w:pPr>
        <w:pStyle w:val="Akapitzlist"/>
        <w:widowControl w:val="0"/>
        <w:numPr>
          <w:ilvl w:val="0"/>
          <w:numId w:val="46"/>
        </w:numPr>
        <w:suppressAutoHyphens/>
        <w:spacing w:after="0" w:line="276" w:lineRule="auto"/>
        <w:jc w:val="both"/>
        <w:rPr>
          <w:rFonts w:ascii="Times New Roman" w:hAnsi="Times New Roman" w:cs="Times New Roman"/>
        </w:rPr>
      </w:pPr>
      <w:r>
        <w:rPr>
          <w:rFonts w:ascii="Times New Roman" w:hAnsi="Times New Roman" w:cs="Times New Roman"/>
        </w:rPr>
        <w:t>Na terenie OF działalność prowadzą placówki oświatowe zapewniające edukację na poziomie przedszkolnym i podstawowym.</w:t>
      </w:r>
    </w:p>
    <w:p w:rsidR="00DC75FA" w:rsidRDefault="00887D84">
      <w:pPr>
        <w:pStyle w:val="Standard"/>
        <w:numPr>
          <w:ilvl w:val="0"/>
          <w:numId w:val="46"/>
        </w:numPr>
        <w:spacing w:after="120" w:line="276" w:lineRule="auto"/>
        <w:ind w:left="357" w:hanging="357"/>
        <w:jc w:val="both"/>
        <w:textAlignment w:val="auto"/>
        <w:rPr>
          <w:rFonts w:cs="Times New Roman"/>
          <w:sz w:val="22"/>
          <w:szCs w:val="22"/>
        </w:rPr>
      </w:pPr>
      <w:r>
        <w:rPr>
          <w:rFonts w:cs="Times New Roman"/>
          <w:sz w:val="22"/>
          <w:szCs w:val="22"/>
        </w:rPr>
        <w:t>W oparciu o analizę danych na przestrzeni lat 2015-2019 można zauważyć, że łączna liczba uczniów w przedszkolach i szkołach na obszarze OF systematycznie rośnie (poza rokiem 2016, w którym nastąpił nieznaczny spadek liczby uczniów). W ostatnim roku analizy ilość uczniów wynosiła 4 126 osób (+ 21,5 w stosunku do roku 2015). Jest to pozytywne zjawisko, w odniesieniu do ogólnopolskiego niżu demograficznego.</w:t>
      </w:r>
    </w:p>
    <w:p w:rsidR="00DC75FA" w:rsidRDefault="00887D84">
      <w:pPr>
        <w:pStyle w:val="Standard"/>
        <w:spacing w:before="240" w:after="120" w:line="276" w:lineRule="auto"/>
        <w:jc w:val="both"/>
        <w:rPr>
          <w:rFonts w:cs="Times New Roman"/>
          <w:sz w:val="22"/>
          <w:szCs w:val="22"/>
        </w:rPr>
      </w:pPr>
      <w:r>
        <w:rPr>
          <w:rFonts w:cs="Times New Roman"/>
          <w:sz w:val="22"/>
          <w:szCs w:val="22"/>
          <w:u w:val="single"/>
        </w:rPr>
        <w:t>Obszar III: Infrastruktura</w:t>
      </w:r>
    </w:p>
    <w:p w:rsidR="00DC75FA" w:rsidRDefault="00887D84">
      <w:pPr>
        <w:pStyle w:val="Textbody"/>
        <w:numPr>
          <w:ilvl w:val="0"/>
          <w:numId w:val="47"/>
        </w:numPr>
        <w:spacing w:after="0" w:line="276" w:lineRule="auto"/>
        <w:contextualSpacing/>
        <w:jc w:val="both"/>
        <w:textAlignment w:val="auto"/>
        <w:rPr>
          <w:rFonts w:cs="Times New Roman"/>
          <w:sz w:val="22"/>
          <w:szCs w:val="22"/>
          <w:lang w:val="pl-PL"/>
        </w:rPr>
      </w:pPr>
      <w:r>
        <w:rPr>
          <w:rFonts w:cs="Times New Roman"/>
          <w:sz w:val="22"/>
          <w:szCs w:val="22"/>
          <w:lang w:val="pl-PL"/>
        </w:rPr>
        <w:t>Przez teren OF przebiegają: droga krajowa (nr 82), drogi wojewódzkie (nr W 831, W 813, W 838, W 839, W 841, W 820, W 829), drogi powiatowe i gminne.</w:t>
      </w:r>
    </w:p>
    <w:p w:rsidR="00DC75FA" w:rsidRDefault="00887D84">
      <w:pPr>
        <w:pStyle w:val="Standard"/>
        <w:numPr>
          <w:ilvl w:val="0"/>
          <w:numId w:val="47"/>
        </w:numPr>
        <w:spacing w:after="120" w:line="276" w:lineRule="auto"/>
        <w:contextualSpacing/>
        <w:jc w:val="both"/>
        <w:textAlignment w:val="auto"/>
        <w:rPr>
          <w:rFonts w:cs="Times New Roman"/>
          <w:sz w:val="22"/>
          <w:szCs w:val="22"/>
        </w:rPr>
      </w:pPr>
      <w:r>
        <w:rPr>
          <w:rFonts w:cs="Times New Roman"/>
          <w:sz w:val="22"/>
          <w:szCs w:val="22"/>
        </w:rPr>
        <w:t>Przez teren OF przebiega również linia kolejowa Bogdanka–Jaszczów stanowiąca własność Skarbu Państwa (wieczysty użytkownik: Lubelski Węgiel „Bogdanka” S.A.). Jest to linia przeznaczona dla ruchu wyłącznie towarowego, obsługująca wywóz węgla z Kopalni Węgla Kamiennego Lubelski Węgiel „Bogdanka” S.A. Linia kolejowa łączy się z magistralą Lublin–Chełm w miejscowości Jaszczów.</w:t>
      </w:r>
    </w:p>
    <w:p w:rsidR="00DC75FA" w:rsidRDefault="00887D84">
      <w:pPr>
        <w:pStyle w:val="Standard"/>
        <w:numPr>
          <w:ilvl w:val="0"/>
          <w:numId w:val="47"/>
        </w:numPr>
        <w:spacing w:line="276" w:lineRule="auto"/>
        <w:contextualSpacing/>
        <w:jc w:val="both"/>
        <w:textAlignment w:val="auto"/>
        <w:rPr>
          <w:rFonts w:cs="Times New Roman"/>
          <w:sz w:val="22"/>
          <w:szCs w:val="22"/>
        </w:rPr>
      </w:pPr>
      <w:r>
        <w:rPr>
          <w:rFonts w:cs="Times New Roman"/>
          <w:sz w:val="22"/>
          <w:szCs w:val="22"/>
        </w:rPr>
        <w:lastRenderedPageBreak/>
        <w:t>Od 2015 r. liczba mieszkań na terenie OF systematycznie wzrastała. W 2019 r. na obszarze znajdowało się 10 640 mieszkań (o 3,2% więcej niż w 2015 r.). O 2,36% wzrosła również wartość wskaźnika liczby mieszkań przypadających na 1 000 mieszkańców – w ostatnim analizowanym roku wyniosła 328,9 wobec 321,3 w 2015 r. Wraz ze wzrostem liczby mieszkań wzrastała również ich powierzchnia użytkowa: przeciętna powierzchnia użytkowa 1 mieszkania w 2019 r. wyniosła 89,5 m2 (o 0,8 m2 więcej niż w 2015 r.), zaś przeciętna powierzchnia użytkowa mieszkania przypadająca na 1 osobę wyniosła 29,3 m</w:t>
      </w:r>
      <w:r>
        <w:rPr>
          <w:rFonts w:cs="Times New Roman"/>
          <w:sz w:val="22"/>
          <w:szCs w:val="22"/>
          <w:vertAlign w:val="superscript"/>
        </w:rPr>
        <w:t>2</w:t>
      </w:r>
      <w:r>
        <w:rPr>
          <w:rFonts w:cs="Times New Roman"/>
          <w:sz w:val="22"/>
          <w:szCs w:val="22"/>
        </w:rPr>
        <w:t xml:space="preserve"> (o 0,9 m2 więcej niż w 2015 r.).</w:t>
      </w:r>
    </w:p>
    <w:p w:rsidR="00DC75FA" w:rsidRDefault="00887D84">
      <w:pPr>
        <w:pStyle w:val="Akapitzlist"/>
        <w:widowControl w:val="0"/>
        <w:numPr>
          <w:ilvl w:val="0"/>
          <w:numId w:val="47"/>
        </w:numPr>
        <w:suppressAutoHyphens/>
        <w:spacing w:after="120" w:line="276" w:lineRule="auto"/>
        <w:jc w:val="both"/>
        <w:rPr>
          <w:rFonts w:ascii="Times New Roman" w:hAnsi="Times New Roman" w:cs="Times New Roman"/>
        </w:rPr>
      </w:pPr>
      <w:r>
        <w:rPr>
          <w:rFonts w:ascii="Times New Roman" w:hAnsi="Times New Roman" w:cs="Times New Roman"/>
        </w:rPr>
        <w:t>Na terenie OF wszystkie jednostki samorządu terytorialnego mają dostęp do wodociągów i kanalizacji. Na terenie OF sieć gazowa występuje w Gminie Puchaczów (50,6 km w 2019 r.), Gminie Ludwin (30,3 km) oraz Gminie Milejów (6,7 km). Pozostałe jednostki samorządu nie posiadają na swoim terenie gazu sieciowego.</w:t>
      </w:r>
    </w:p>
    <w:p w:rsidR="00DC75FA" w:rsidRDefault="00887D84">
      <w:pPr>
        <w:pStyle w:val="Standard"/>
        <w:spacing w:before="240" w:after="120" w:line="276" w:lineRule="auto"/>
        <w:jc w:val="both"/>
        <w:rPr>
          <w:rFonts w:cs="Times New Roman"/>
          <w:sz w:val="22"/>
          <w:szCs w:val="22"/>
          <w:u w:val="single"/>
        </w:rPr>
      </w:pPr>
      <w:r>
        <w:rPr>
          <w:rFonts w:cs="Times New Roman"/>
          <w:sz w:val="22"/>
          <w:szCs w:val="22"/>
          <w:u w:val="single"/>
        </w:rPr>
        <w:t>Obszar IV: Aktywność gospodarcza</w:t>
      </w:r>
    </w:p>
    <w:p w:rsidR="00DC75FA" w:rsidRDefault="00887D84">
      <w:pPr>
        <w:pStyle w:val="NormalnyWeb"/>
        <w:widowControl w:val="0"/>
        <w:numPr>
          <w:ilvl w:val="0"/>
          <w:numId w:val="48"/>
        </w:numPr>
        <w:suppressAutoHyphens/>
        <w:spacing w:beforeAutospacing="0" w:after="0" w:afterAutospacing="0" w:line="276" w:lineRule="auto"/>
        <w:contextualSpacing/>
        <w:jc w:val="both"/>
        <w:rPr>
          <w:szCs w:val="22"/>
        </w:rPr>
      </w:pPr>
      <w:r>
        <w:rPr>
          <w:bCs/>
          <w:szCs w:val="22"/>
        </w:rPr>
        <w:t>Na terenie OF obszary wykorzystywane rolniczo stanowią niemal 69% powierzchni ogółem.</w:t>
      </w:r>
    </w:p>
    <w:p w:rsidR="00DC75FA" w:rsidRDefault="00887D84">
      <w:pPr>
        <w:pStyle w:val="NormalnyWeb"/>
        <w:widowControl w:val="0"/>
        <w:numPr>
          <w:ilvl w:val="0"/>
          <w:numId w:val="48"/>
        </w:numPr>
        <w:suppressAutoHyphens/>
        <w:spacing w:beforeAutospacing="0" w:after="0" w:afterAutospacing="0" w:line="276" w:lineRule="auto"/>
        <w:contextualSpacing/>
        <w:jc w:val="both"/>
        <w:rPr>
          <w:szCs w:val="22"/>
        </w:rPr>
      </w:pPr>
      <w:r>
        <w:rPr>
          <w:szCs w:val="22"/>
        </w:rPr>
        <w:t>Z Powszechnego Spisu Rolnego</w:t>
      </w:r>
      <w:r>
        <w:rPr>
          <w:rStyle w:val="Zakotwiczenieprzypisudolnego"/>
          <w:szCs w:val="22"/>
        </w:rPr>
        <w:footnoteReference w:id="8"/>
      </w:r>
      <w:r>
        <w:rPr>
          <w:szCs w:val="22"/>
        </w:rPr>
        <w:t xml:space="preserve"> przeprowadzonego w 2010 r. (najnowsze dostępne dane) wynika, że na terenie OF istniało 6 457 gospodarstw domowych, z czego ponad 89% utrzymywało się z działalności rolniczej.</w:t>
      </w:r>
    </w:p>
    <w:p w:rsidR="00DC75FA" w:rsidRDefault="00887D84">
      <w:pPr>
        <w:pStyle w:val="Akapitzlist"/>
        <w:widowControl w:val="0"/>
        <w:numPr>
          <w:ilvl w:val="0"/>
          <w:numId w:val="48"/>
        </w:numPr>
        <w:suppressAutoHyphens/>
        <w:spacing w:after="0" w:line="276" w:lineRule="auto"/>
        <w:jc w:val="both"/>
        <w:rPr>
          <w:rFonts w:ascii="Times New Roman" w:hAnsi="Times New Roman" w:cs="Times New Roman"/>
        </w:rPr>
      </w:pPr>
      <w:r>
        <w:rPr>
          <w:rFonts w:ascii="Times New Roman" w:hAnsi="Times New Roman" w:cs="Times New Roman"/>
        </w:rPr>
        <w:t>Na terenie OF większość gospodarstw rolnych ma charakter tradycyjny. Nie ma gospodarstw zajmujących się innowacyjną produkcją ekologiczną.</w:t>
      </w:r>
    </w:p>
    <w:p w:rsidR="00DC75FA" w:rsidRDefault="00887D84">
      <w:pPr>
        <w:pStyle w:val="Standard"/>
        <w:numPr>
          <w:ilvl w:val="0"/>
          <w:numId w:val="48"/>
        </w:numPr>
        <w:spacing w:line="276" w:lineRule="auto"/>
        <w:contextualSpacing/>
        <w:jc w:val="both"/>
        <w:textAlignment w:val="auto"/>
        <w:rPr>
          <w:rFonts w:cs="Times New Roman"/>
          <w:sz w:val="22"/>
          <w:szCs w:val="22"/>
        </w:rPr>
      </w:pPr>
      <w:r>
        <w:rPr>
          <w:rFonts w:cs="Times New Roman"/>
          <w:sz w:val="22"/>
          <w:szCs w:val="22"/>
        </w:rPr>
        <w:t>W latach 2015–2019 liczba podmiotów gospodarczych wpisanych do rejestru REGON na terenie OF wzrosła z poziomu 1 665 do 1 868, wykazując tym samym tempo wzrostu na poziomie 12%. Biorąc pod uwagę strukturę własności zdecydowanie dominowały przedsiębiorstwa z sektora prywatnego – w 2019 r. stanowiły 94% ogółu przedsiębiorstw.</w:t>
      </w:r>
    </w:p>
    <w:p w:rsidR="00DC75FA" w:rsidRDefault="00887D84">
      <w:pPr>
        <w:pStyle w:val="Standard"/>
        <w:numPr>
          <w:ilvl w:val="0"/>
          <w:numId w:val="48"/>
        </w:numPr>
        <w:spacing w:line="276" w:lineRule="auto"/>
        <w:contextualSpacing/>
        <w:jc w:val="both"/>
        <w:textAlignment w:val="auto"/>
        <w:rPr>
          <w:rFonts w:cs="Times New Roman"/>
          <w:sz w:val="22"/>
          <w:szCs w:val="22"/>
        </w:rPr>
      </w:pPr>
      <w:r>
        <w:rPr>
          <w:rFonts w:cs="Times New Roman"/>
          <w:sz w:val="22"/>
          <w:szCs w:val="22"/>
        </w:rPr>
        <w:t>Analiza struktury sektora przedsiębiorstw pod względem klas wielkości pokazuje, że dominującą grupą przedsiębiorstw w latach 2015–2019 były mikroprzedsiębiorstwa, zatrudniające do 9 pracowników, które w 2019 r. stanowiły 95,9% wszystkich przedsiębiorstw. Należy przy tym zauważyć, że ich liczba wzrastała z roku na rok i w 2019 r. była o 12,6% większa niż w 2015 r. Drugą grupą pod względem liczebności w strukturze przedsiębiorstw wg klas wielkości były przedsiębiorstwa małe, stanowiące w 2019 r. 3,2% ogółu przedsiębiorstw. W całym obszarze funkcjonalnym znajduje się tylko jeden podmiot zatrudniający powyżej 1 000 pracowników.</w:t>
      </w:r>
    </w:p>
    <w:p w:rsidR="00DC75FA" w:rsidRDefault="00887D84">
      <w:pPr>
        <w:pStyle w:val="Standard"/>
        <w:numPr>
          <w:ilvl w:val="0"/>
          <w:numId w:val="48"/>
        </w:numPr>
        <w:spacing w:line="276" w:lineRule="auto"/>
        <w:contextualSpacing/>
        <w:jc w:val="both"/>
        <w:textAlignment w:val="auto"/>
        <w:rPr>
          <w:rFonts w:cs="Times New Roman"/>
          <w:sz w:val="22"/>
          <w:szCs w:val="22"/>
        </w:rPr>
      </w:pPr>
      <w:r>
        <w:rPr>
          <w:rFonts w:cs="Times New Roman"/>
          <w:sz w:val="22"/>
          <w:szCs w:val="22"/>
        </w:rPr>
        <w:t>Struktura branż gospodarki na terenie OF wykazuje dominację firm prowadzących działalność inną niż rolnictwo, leśnictwo, łowiectwo, rybactwo. Spośród 1 868 przedsiębiorstw zarejestrowanych w rejestrze REGON na terenie OF w 2019 r. tylko 60 firm zajmowało się rolnictwem, leśnictwem, łowiectwem bądź rybactwem, a ich liczba w porównaniu z 2015 r. zmniejszyła się o 22%. Najliczniej reprezentowaną branżą wśród wszystkich podmiotów gospodarczych była „pozostała działalność”, stanowiąca w 2019 r. niemal 70% łącznej liczby przedsiębiorstw. 27% wszystkich podmiotów działających na obszarze OF to podmioty działające w przemyśle oraz budownictwie.</w:t>
      </w:r>
    </w:p>
    <w:p w:rsidR="00DC75FA" w:rsidRDefault="00887D84">
      <w:pPr>
        <w:pStyle w:val="Akapitzlist"/>
        <w:widowControl w:val="0"/>
        <w:numPr>
          <w:ilvl w:val="0"/>
          <w:numId w:val="48"/>
        </w:numPr>
        <w:suppressAutoHyphens/>
        <w:spacing w:after="0" w:line="276" w:lineRule="auto"/>
        <w:jc w:val="both"/>
        <w:rPr>
          <w:rFonts w:ascii="Times New Roman" w:hAnsi="Times New Roman" w:cs="Times New Roman"/>
        </w:rPr>
      </w:pPr>
      <w:r>
        <w:rPr>
          <w:rFonts w:ascii="Times New Roman" w:hAnsi="Times New Roman" w:cs="Times New Roman"/>
        </w:rPr>
        <w:t xml:space="preserve">Analiza zmian w liczbie podmiotów zarejestrowanych w rejestrze REGON pokazuje, że w większości analizowanych lat, liczba podmiotów nowo zarejestrowanych w rejestrze REGON przewyższała liczbę podmiotów wyrejestrowanych z rejestru. Wyjątkiem był 2016 r., w którym na 126 nowo zarejestrowanych firm, 139 zostało wyrejestrowanych. W 2019 r. zarejestrowano 196 nowych przedsiębiorstw – o 21 więcej niż w 2015 r. – a wyrejestrowano 112 podmiotów (o 16 </w:t>
      </w:r>
      <w:r>
        <w:rPr>
          <w:rFonts w:ascii="Times New Roman" w:hAnsi="Times New Roman" w:cs="Times New Roman"/>
        </w:rPr>
        <w:lastRenderedPageBreak/>
        <w:t>mniej niż w 2015 r.).</w:t>
      </w:r>
    </w:p>
    <w:p w:rsidR="00DC75FA" w:rsidRDefault="00887D84">
      <w:pPr>
        <w:pStyle w:val="Standard"/>
        <w:numPr>
          <w:ilvl w:val="0"/>
          <w:numId w:val="48"/>
        </w:numPr>
        <w:spacing w:after="120" w:line="276" w:lineRule="auto"/>
        <w:ind w:left="357" w:hanging="357"/>
        <w:jc w:val="both"/>
        <w:textAlignment w:val="auto"/>
        <w:rPr>
          <w:rFonts w:cs="Times New Roman"/>
          <w:sz w:val="22"/>
          <w:szCs w:val="22"/>
        </w:rPr>
      </w:pPr>
      <w:r>
        <w:rPr>
          <w:rFonts w:cs="Times New Roman"/>
          <w:sz w:val="22"/>
          <w:szCs w:val="22"/>
        </w:rPr>
        <w:t>Wskaźnik podmiotów gospodarczych wpisanych do rejestru REGON na 1 tys. ludności na terenie OF w latach 2015–2019 (poza 2016 r. w którym odnotowano niewielki spadek) wzrastał i w 2019 r. wyniósł 59. O 13% (do poziomu 96) wzrosła również wartość wskaźnika podmiotów na 1 000 mieszkańców w wieku produkcyjnym, a o 10,7% (do poziomu 43,4) wzrosła wartość wskaźnika osób fizycznych prowadzących działalność gospodarczą na 1 000 ludności.</w:t>
      </w:r>
    </w:p>
    <w:p w:rsidR="00DC75FA" w:rsidRDefault="00887D84">
      <w:pPr>
        <w:pStyle w:val="Standard"/>
        <w:spacing w:before="240" w:after="120" w:line="276" w:lineRule="auto"/>
        <w:jc w:val="both"/>
        <w:rPr>
          <w:rFonts w:cs="Times New Roman"/>
          <w:sz w:val="22"/>
          <w:szCs w:val="22"/>
          <w:u w:val="single"/>
        </w:rPr>
      </w:pPr>
      <w:r>
        <w:rPr>
          <w:rFonts w:cs="Times New Roman"/>
          <w:sz w:val="22"/>
          <w:szCs w:val="22"/>
          <w:u w:val="single"/>
        </w:rPr>
        <w:t>Obszar V: Kultura, wizerunek i czas wolny</w:t>
      </w:r>
    </w:p>
    <w:p w:rsidR="00DC75FA" w:rsidRDefault="00887D84">
      <w:pPr>
        <w:pStyle w:val="Standard"/>
        <w:numPr>
          <w:ilvl w:val="0"/>
          <w:numId w:val="48"/>
        </w:numPr>
        <w:spacing w:after="120" w:line="276" w:lineRule="auto"/>
        <w:contextualSpacing/>
        <w:jc w:val="both"/>
        <w:textAlignment w:val="auto"/>
        <w:rPr>
          <w:rFonts w:cs="Times New Roman"/>
          <w:sz w:val="22"/>
          <w:szCs w:val="22"/>
        </w:rPr>
      </w:pPr>
      <w:r>
        <w:rPr>
          <w:rFonts w:cs="Times New Roman"/>
          <w:sz w:val="22"/>
          <w:szCs w:val="22"/>
        </w:rPr>
        <w:t>Rola kultury w tworzeniu tożsamości regionu jest niepowtarzalna. Stanowi ona dorobek przeszłych pokoleń, uzupełniony współczesną twórczą działalnością. Życie kulturalne na terenie OF tworzą następujące domy i ośrodki kultury: Gminny Dom Kultury w Cycowie, Gminne Centrum Kultury i Sportu w Ludwinie, Gminny Ośrodek Kultury w Milejowie, Gminny Ośrodek Kultury w Puchaczowie,</w:t>
      </w:r>
    </w:p>
    <w:p w:rsidR="00DC75FA" w:rsidRDefault="00887D84">
      <w:pPr>
        <w:pStyle w:val="Standard"/>
        <w:numPr>
          <w:ilvl w:val="0"/>
          <w:numId w:val="48"/>
        </w:numPr>
        <w:spacing w:after="120" w:line="276" w:lineRule="auto"/>
        <w:contextualSpacing/>
        <w:jc w:val="both"/>
        <w:textAlignment w:val="auto"/>
        <w:rPr>
          <w:rFonts w:cs="Times New Roman"/>
          <w:sz w:val="22"/>
          <w:szCs w:val="22"/>
        </w:rPr>
      </w:pPr>
      <w:r>
        <w:rPr>
          <w:rFonts w:cs="Times New Roman"/>
          <w:sz w:val="22"/>
          <w:szCs w:val="22"/>
        </w:rPr>
        <w:t>Instytucjami, które także odpowiadają za rozwój kultury są biblioteki publiczne. Na terenie OF prowadzi działalność 5 bibliotek i 8 filii</w:t>
      </w:r>
    </w:p>
    <w:p w:rsidR="00DC75FA" w:rsidRDefault="00887D84">
      <w:pPr>
        <w:pStyle w:val="Standard"/>
        <w:numPr>
          <w:ilvl w:val="0"/>
          <w:numId w:val="48"/>
        </w:numPr>
        <w:spacing w:after="120" w:line="276" w:lineRule="auto"/>
        <w:ind w:left="357" w:hanging="357"/>
        <w:jc w:val="both"/>
        <w:textAlignment w:val="auto"/>
        <w:rPr>
          <w:rFonts w:cs="Times New Roman"/>
          <w:sz w:val="22"/>
          <w:szCs w:val="22"/>
        </w:rPr>
      </w:pPr>
      <w:r>
        <w:rPr>
          <w:rFonts w:cs="Times New Roman"/>
          <w:sz w:val="22"/>
          <w:szCs w:val="22"/>
        </w:rPr>
        <w:t xml:space="preserve">W analizowanym okresie księgozbiór zgromadzony w bibliotekach na terenie OF systematycznie się zwiększał – w 2019 r. jego wolumin wyniósł 96 657, przy łącznej liczbie </w:t>
      </w:r>
      <w:proofErr w:type="spellStart"/>
      <w:r>
        <w:rPr>
          <w:rFonts w:cs="Times New Roman"/>
          <w:sz w:val="22"/>
          <w:szCs w:val="22"/>
        </w:rPr>
        <w:t>wypożyczeń</w:t>
      </w:r>
      <w:proofErr w:type="spellEnd"/>
      <w:r>
        <w:rPr>
          <w:rFonts w:cs="Times New Roman"/>
          <w:sz w:val="22"/>
          <w:szCs w:val="22"/>
        </w:rPr>
        <w:t xml:space="preserve"> na zewnątrz równej 104 587. W ciągu roku biblioteki funkcjonujące na terenie OF gromadziły średnio 6,4 tys. czytelników.</w:t>
      </w:r>
    </w:p>
    <w:p w:rsidR="00DC75FA" w:rsidRDefault="00887D84">
      <w:pPr>
        <w:pStyle w:val="Standard"/>
        <w:spacing w:before="240" w:after="120" w:line="276" w:lineRule="auto"/>
        <w:jc w:val="both"/>
        <w:rPr>
          <w:rFonts w:cs="Times New Roman"/>
          <w:sz w:val="22"/>
          <w:szCs w:val="22"/>
          <w:u w:val="single"/>
        </w:rPr>
      </w:pPr>
      <w:r>
        <w:rPr>
          <w:rFonts w:cs="Times New Roman"/>
          <w:sz w:val="22"/>
          <w:szCs w:val="22"/>
          <w:u w:val="single"/>
        </w:rPr>
        <w:t>Obszar VI: Jakość życia</w:t>
      </w:r>
    </w:p>
    <w:p w:rsidR="00DC75FA" w:rsidRDefault="00887D84">
      <w:pPr>
        <w:pStyle w:val="Akapitzlist"/>
        <w:widowControl w:val="0"/>
        <w:numPr>
          <w:ilvl w:val="0"/>
          <w:numId w:val="49"/>
        </w:numPr>
        <w:suppressAutoHyphens/>
        <w:spacing w:after="0" w:line="276" w:lineRule="auto"/>
        <w:jc w:val="both"/>
        <w:rPr>
          <w:rFonts w:ascii="Times New Roman" w:hAnsi="Times New Roman" w:cs="Times New Roman"/>
        </w:rPr>
      </w:pPr>
      <w:bookmarkStart w:id="199" w:name="Bookmark112"/>
      <w:r>
        <w:rPr>
          <w:rFonts w:ascii="Times New Roman" w:hAnsi="Times New Roman" w:cs="Times New Roman"/>
        </w:rPr>
        <w:t>Zadania z zakresu opieki zdrowotnej na terenie Obszaru Funkcjonalnego wykonywane są za pośrednictwem ośrodków zlokalizowanych w poszczególnych JST</w:t>
      </w:r>
      <w:bookmarkEnd w:id="199"/>
      <w:r>
        <w:rPr>
          <w:rFonts w:ascii="Times New Roman" w:hAnsi="Times New Roman" w:cs="Times New Roman"/>
        </w:rPr>
        <w:t>:, w tym publicznych i niepublicznych zakładów opieki zdrowotnej, przychodni oraz ośrodków zdrowia.</w:t>
      </w:r>
    </w:p>
    <w:p w:rsidR="00DC75FA" w:rsidRDefault="00887D84">
      <w:pPr>
        <w:pStyle w:val="Standard"/>
        <w:numPr>
          <w:ilvl w:val="0"/>
          <w:numId w:val="49"/>
        </w:numPr>
        <w:spacing w:line="276" w:lineRule="auto"/>
        <w:contextualSpacing/>
        <w:jc w:val="both"/>
        <w:textAlignment w:val="auto"/>
        <w:rPr>
          <w:rFonts w:cs="Times New Roman"/>
          <w:sz w:val="22"/>
          <w:szCs w:val="22"/>
        </w:rPr>
      </w:pPr>
      <w:bookmarkStart w:id="200" w:name="Bookmark116"/>
      <w:r>
        <w:rPr>
          <w:rFonts w:cs="Times New Roman"/>
          <w:sz w:val="22"/>
          <w:szCs w:val="22"/>
        </w:rPr>
        <w:t>Każda JST wchodząca w skład OF prowadzi Ośrodek Pomocy Społecznej, realizujący zadania z zakresu pomocy społecznej</w:t>
      </w:r>
      <w:bookmarkEnd w:id="200"/>
      <w:r>
        <w:rPr>
          <w:rFonts w:cs="Times New Roman"/>
          <w:sz w:val="22"/>
          <w:szCs w:val="22"/>
        </w:rPr>
        <w:t>. Ośrodki są jednostkami organizacyjnymi wykonującymi zadania z zakresu pomocy społecznej na podstawie ustawy o pomocy społecznej</w:t>
      </w:r>
      <w:r>
        <w:rPr>
          <w:rStyle w:val="Zakotwiczenieprzypisudolnego"/>
          <w:rFonts w:cs="Times New Roman"/>
          <w:sz w:val="22"/>
          <w:szCs w:val="22"/>
        </w:rPr>
        <w:footnoteReference w:id="9"/>
      </w:r>
      <w:r>
        <w:rPr>
          <w:rFonts w:cs="Times New Roman"/>
          <w:sz w:val="22"/>
          <w:szCs w:val="22"/>
        </w:rPr>
        <w:t>.</w:t>
      </w:r>
    </w:p>
    <w:p w:rsidR="00DC75FA" w:rsidRDefault="00887D84">
      <w:pPr>
        <w:pStyle w:val="Standard"/>
        <w:numPr>
          <w:ilvl w:val="0"/>
          <w:numId w:val="49"/>
        </w:numPr>
        <w:spacing w:line="276" w:lineRule="auto"/>
        <w:contextualSpacing/>
        <w:jc w:val="both"/>
        <w:textAlignment w:val="auto"/>
        <w:rPr>
          <w:rFonts w:cs="Times New Roman"/>
          <w:sz w:val="22"/>
          <w:szCs w:val="22"/>
        </w:rPr>
      </w:pPr>
      <w:r>
        <w:rPr>
          <w:rFonts w:cs="Times New Roman"/>
          <w:sz w:val="22"/>
          <w:szCs w:val="22"/>
        </w:rPr>
        <w:t>Jednostki samorządu terytorialnego wchodzące w skład OF podlegają pod zasięg działania Komendy Powiatowej Policji w Łęcznej (Gmina Cyców, Gmina Ludwin, Gmina Milejów oraz Gmina Puchaczów) i Komendy Powiatowej Policji we Włodawie (Gmina Urszulin).</w:t>
      </w:r>
    </w:p>
    <w:p w:rsidR="00DC75FA" w:rsidRDefault="00887D84">
      <w:pPr>
        <w:pStyle w:val="Akapitzlist"/>
        <w:widowControl w:val="0"/>
        <w:numPr>
          <w:ilvl w:val="0"/>
          <w:numId w:val="49"/>
        </w:numPr>
        <w:suppressAutoHyphens/>
        <w:spacing w:after="120" w:line="276" w:lineRule="auto"/>
        <w:jc w:val="both"/>
        <w:rPr>
          <w:rFonts w:ascii="Times New Roman" w:hAnsi="Times New Roman" w:cs="Times New Roman"/>
        </w:rPr>
      </w:pPr>
      <w:r>
        <w:rPr>
          <w:rFonts w:ascii="Times New Roman" w:hAnsi="Times New Roman" w:cs="Times New Roman"/>
        </w:rPr>
        <w:t>Na terenie OF bezpieczeństwo przeciwpożarowe zapewniają jednostki ochotniczych straży pożarnych, prowadzące działalność w każdej JST wchodzącej w skład obszaru.</w:t>
      </w:r>
    </w:p>
    <w:p w:rsidR="00DC75FA" w:rsidRDefault="00DC75FA">
      <w:pPr>
        <w:rPr>
          <w:rFonts w:ascii="Times New Roman" w:hAnsi="Times New Roman" w:cs="Times New Roman"/>
          <w:b/>
          <w:color w:val="5B9BD5" w:themeColor="accent1"/>
          <w:sz w:val="24"/>
          <w:szCs w:val="24"/>
        </w:rPr>
      </w:pPr>
    </w:p>
    <w:p w:rsidR="00DC75FA" w:rsidRDefault="00DC75FA">
      <w:pPr>
        <w:rPr>
          <w:rFonts w:ascii="Times New Roman" w:hAnsi="Times New Roman" w:cs="Times New Roman"/>
          <w:b/>
          <w:color w:val="5B9BD5" w:themeColor="accent1"/>
          <w:sz w:val="24"/>
          <w:szCs w:val="24"/>
        </w:rPr>
      </w:pPr>
    </w:p>
    <w:p w:rsidR="00DC75FA" w:rsidRDefault="00DC75FA">
      <w:pPr>
        <w:rPr>
          <w:rFonts w:ascii="Times New Roman" w:hAnsi="Times New Roman" w:cs="Times New Roman"/>
          <w:b/>
          <w:color w:val="5B9BD5" w:themeColor="accent1"/>
          <w:sz w:val="24"/>
          <w:szCs w:val="24"/>
        </w:rPr>
      </w:pPr>
    </w:p>
    <w:p w:rsidR="00DC75FA" w:rsidRDefault="00DC75FA">
      <w:pPr>
        <w:rPr>
          <w:rFonts w:ascii="Times New Roman" w:hAnsi="Times New Roman" w:cs="Times New Roman"/>
          <w:b/>
          <w:color w:val="5B9BD5" w:themeColor="accent1"/>
          <w:sz w:val="24"/>
          <w:szCs w:val="24"/>
        </w:rPr>
      </w:pPr>
    </w:p>
    <w:p w:rsidR="00DC75FA" w:rsidRDefault="00DC75FA">
      <w:pPr>
        <w:rPr>
          <w:rFonts w:ascii="Times New Roman" w:hAnsi="Times New Roman" w:cs="Times New Roman"/>
          <w:b/>
          <w:color w:val="5B9BD5" w:themeColor="accent1"/>
          <w:sz w:val="24"/>
          <w:szCs w:val="24"/>
        </w:rPr>
      </w:pPr>
    </w:p>
    <w:p w:rsidR="00DC75FA" w:rsidRDefault="00DC75FA">
      <w:pPr>
        <w:rPr>
          <w:rFonts w:ascii="Times New Roman" w:hAnsi="Times New Roman" w:cs="Times New Roman"/>
          <w:b/>
          <w:color w:val="5B9BD5" w:themeColor="accent1"/>
          <w:sz w:val="24"/>
          <w:szCs w:val="24"/>
        </w:rPr>
      </w:pPr>
    </w:p>
    <w:p w:rsidR="00DC75FA" w:rsidRDefault="00DC75FA">
      <w:pPr>
        <w:rPr>
          <w:rFonts w:ascii="Times New Roman" w:hAnsi="Times New Roman" w:cs="Times New Roman"/>
          <w:b/>
          <w:color w:val="5B9BD5" w:themeColor="accent1"/>
          <w:sz w:val="24"/>
          <w:szCs w:val="24"/>
        </w:rPr>
      </w:pPr>
    </w:p>
    <w:p w:rsidR="00DC75FA" w:rsidRDefault="00DC75FA">
      <w:pPr>
        <w:rPr>
          <w:rFonts w:ascii="Times New Roman" w:hAnsi="Times New Roman" w:cs="Times New Roman"/>
          <w:b/>
          <w:color w:val="5B9BD5" w:themeColor="accent1"/>
          <w:sz w:val="24"/>
          <w:szCs w:val="24"/>
        </w:rPr>
      </w:pPr>
    </w:p>
    <w:p w:rsidR="00DC75FA" w:rsidRDefault="00DC75FA">
      <w:pPr>
        <w:rPr>
          <w:rFonts w:ascii="Times New Roman" w:hAnsi="Times New Roman" w:cs="Times New Roman"/>
          <w:b/>
          <w:color w:val="5B9BD5" w:themeColor="accent1"/>
          <w:sz w:val="24"/>
          <w:szCs w:val="24"/>
        </w:rPr>
      </w:pPr>
    </w:p>
    <w:p w:rsidR="00DC75FA" w:rsidRDefault="00DC75FA">
      <w:pPr>
        <w:rPr>
          <w:rFonts w:ascii="Times New Roman" w:hAnsi="Times New Roman" w:cs="Times New Roman"/>
          <w:b/>
          <w:color w:val="5B9BD5" w:themeColor="accent1"/>
          <w:sz w:val="24"/>
          <w:szCs w:val="24"/>
        </w:rPr>
      </w:pPr>
    </w:p>
    <w:p w:rsidR="00DC75FA" w:rsidRDefault="00887D84">
      <w:pPr>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Bibliografia</w:t>
      </w:r>
    </w:p>
    <w:p w:rsidR="00DC75FA" w:rsidRDefault="00887D84">
      <w:pPr>
        <w:pStyle w:val="Akapitzlist"/>
        <w:numPr>
          <w:ilvl w:val="0"/>
          <w:numId w:val="52"/>
        </w:numPr>
        <w:spacing w:after="120" w:line="276" w:lineRule="auto"/>
        <w:jc w:val="both"/>
        <w:rPr>
          <w:rFonts w:ascii="Times New Roman" w:hAnsi="Times New Roman" w:cs="Times New Roman"/>
          <w:sz w:val="20"/>
          <w:szCs w:val="24"/>
        </w:rPr>
      </w:pPr>
      <w:r>
        <w:rPr>
          <w:rFonts w:ascii="Times New Roman" w:hAnsi="Times New Roman" w:cs="Times New Roman"/>
          <w:sz w:val="20"/>
          <w:szCs w:val="24"/>
        </w:rPr>
        <w:t xml:space="preserve">Szafranek E., </w:t>
      </w:r>
      <w:proofErr w:type="spellStart"/>
      <w:r>
        <w:rPr>
          <w:rFonts w:ascii="Times New Roman" w:hAnsi="Times New Roman" w:cs="Times New Roman"/>
          <w:i/>
          <w:sz w:val="20"/>
          <w:szCs w:val="24"/>
        </w:rPr>
        <w:t>Terytorializacja</w:t>
      </w:r>
      <w:proofErr w:type="spellEnd"/>
      <w:r>
        <w:rPr>
          <w:rFonts w:ascii="Times New Roman" w:hAnsi="Times New Roman" w:cs="Times New Roman"/>
          <w:i/>
          <w:sz w:val="20"/>
          <w:szCs w:val="24"/>
        </w:rPr>
        <w:t xml:space="preserve"> polityki rozwoju. Wdrażanie Zintegrowanych Inwestycji Terytorialnych w obszarach funkcjonalnych miast w Polsce</w:t>
      </w:r>
      <w:r>
        <w:rPr>
          <w:rFonts w:ascii="Times New Roman" w:hAnsi="Times New Roman" w:cs="Times New Roman"/>
          <w:sz w:val="20"/>
          <w:szCs w:val="24"/>
        </w:rPr>
        <w:t>, Wydawnictwo Uniwersytetu Opolskiego, Opole 2019.</w:t>
      </w:r>
    </w:p>
    <w:p w:rsidR="00DC75FA" w:rsidRDefault="00887D84">
      <w:pPr>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Akty prawne</w:t>
      </w:r>
    </w:p>
    <w:p w:rsidR="00DC75FA" w:rsidRDefault="00887D84">
      <w:pPr>
        <w:pStyle w:val="Akapitzlist"/>
        <w:numPr>
          <w:ilvl w:val="0"/>
          <w:numId w:val="29"/>
        </w:numPr>
        <w:spacing w:after="120" w:line="276" w:lineRule="auto"/>
        <w:jc w:val="both"/>
        <w:rPr>
          <w:rFonts w:ascii="Times New Roman" w:hAnsi="Times New Roman" w:cs="Times New Roman"/>
          <w:sz w:val="20"/>
        </w:rPr>
      </w:pPr>
      <w:r>
        <w:rPr>
          <w:rFonts w:ascii="Times New Roman" w:hAnsi="Times New Roman" w:cs="Times New Roman"/>
          <w:sz w:val="20"/>
        </w:rPr>
        <w:t xml:space="preserve">Ustawa z dnia 12 marca 2004 r. o pomocy społecznej (Dz.U.2019.1507 </w:t>
      </w:r>
      <w:proofErr w:type="spellStart"/>
      <w:r>
        <w:rPr>
          <w:rFonts w:ascii="Times New Roman" w:hAnsi="Times New Roman" w:cs="Times New Roman"/>
          <w:sz w:val="20"/>
        </w:rPr>
        <w:t>t.j</w:t>
      </w:r>
      <w:proofErr w:type="spellEnd"/>
      <w:r>
        <w:rPr>
          <w:rFonts w:ascii="Times New Roman" w:hAnsi="Times New Roman" w:cs="Times New Roman"/>
          <w:sz w:val="20"/>
        </w:rPr>
        <w:t xml:space="preserve">., z </w:t>
      </w:r>
      <w:proofErr w:type="spellStart"/>
      <w:r>
        <w:rPr>
          <w:rFonts w:ascii="Times New Roman" w:hAnsi="Times New Roman" w:cs="Times New Roman"/>
          <w:sz w:val="20"/>
        </w:rPr>
        <w:t>późn</w:t>
      </w:r>
      <w:proofErr w:type="spellEnd"/>
      <w:r>
        <w:rPr>
          <w:rFonts w:ascii="Times New Roman" w:hAnsi="Times New Roman" w:cs="Times New Roman"/>
          <w:sz w:val="20"/>
        </w:rPr>
        <w:t>. zm.).</w:t>
      </w:r>
    </w:p>
    <w:p w:rsidR="00DC75FA" w:rsidRDefault="00887D84">
      <w:pPr>
        <w:pStyle w:val="Akapitzlist"/>
        <w:numPr>
          <w:ilvl w:val="0"/>
          <w:numId w:val="29"/>
        </w:numPr>
        <w:spacing w:after="120" w:line="276" w:lineRule="auto"/>
        <w:jc w:val="both"/>
        <w:rPr>
          <w:rFonts w:ascii="Times New Roman" w:hAnsi="Times New Roman" w:cs="Times New Roman"/>
          <w:sz w:val="20"/>
        </w:rPr>
      </w:pPr>
      <w:r>
        <w:rPr>
          <w:rFonts w:ascii="Times New Roman" w:hAnsi="Times New Roman" w:cs="Times New Roman"/>
          <w:sz w:val="20"/>
        </w:rPr>
        <w:t>Ustawa z dnia 10 maja 2018 r. o wspieraniu nowych inwestycji (Dz.U. 2018 poz. 1162)</w:t>
      </w:r>
    </w:p>
    <w:p w:rsidR="00DC75FA" w:rsidRDefault="00887D84">
      <w:pPr>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Źródła danych pierwotnych</w:t>
      </w:r>
    </w:p>
    <w:p w:rsidR="00DC75FA" w:rsidRDefault="00887D84">
      <w:pPr>
        <w:pStyle w:val="Akapitzlist"/>
        <w:numPr>
          <w:ilvl w:val="0"/>
          <w:numId w:val="26"/>
        </w:numPr>
        <w:spacing w:after="120" w:line="276" w:lineRule="auto"/>
        <w:jc w:val="both"/>
        <w:rPr>
          <w:rFonts w:ascii="Times New Roman" w:hAnsi="Times New Roman" w:cs="Times New Roman"/>
          <w:sz w:val="20"/>
        </w:rPr>
      </w:pPr>
      <w:r>
        <w:rPr>
          <w:rFonts w:ascii="Times New Roman" w:hAnsi="Times New Roman" w:cs="Times New Roman"/>
          <w:sz w:val="20"/>
        </w:rPr>
        <w:t>Bank Danych Lokalnych Głównego Urzędu Statystycznego.</w:t>
      </w:r>
    </w:p>
    <w:p w:rsidR="00DC75FA" w:rsidRDefault="00887D84">
      <w:pPr>
        <w:pStyle w:val="Akapitzlist"/>
        <w:numPr>
          <w:ilvl w:val="0"/>
          <w:numId w:val="26"/>
        </w:numPr>
        <w:spacing w:after="120" w:line="276" w:lineRule="auto"/>
        <w:jc w:val="both"/>
        <w:rPr>
          <w:rFonts w:ascii="Times New Roman" w:hAnsi="Times New Roman" w:cs="Times New Roman"/>
          <w:sz w:val="20"/>
        </w:rPr>
      </w:pPr>
      <w:r>
        <w:rPr>
          <w:rFonts w:ascii="Times New Roman" w:hAnsi="Times New Roman" w:cs="Times New Roman"/>
          <w:sz w:val="20"/>
        </w:rPr>
        <w:t>Powszechny Spis Rolny 2010 wg siedziby gospodarstwa, Główny Urząd Statystyczny.</w:t>
      </w:r>
    </w:p>
    <w:p w:rsidR="00DC75FA" w:rsidRDefault="00DC75FA">
      <w:pPr>
        <w:rPr>
          <w:rFonts w:ascii="Times New Roman" w:hAnsi="Times New Roman" w:cs="Times New Roman"/>
          <w:b/>
          <w:sz w:val="20"/>
          <w:szCs w:val="24"/>
          <w:highlight w:val="yellow"/>
        </w:rPr>
      </w:pPr>
    </w:p>
    <w:p w:rsidR="00DC75FA" w:rsidRDefault="00887D84">
      <w:pPr>
        <w:pStyle w:val="Akapitzlist"/>
        <w:numPr>
          <w:ilvl w:val="0"/>
          <w:numId w:val="27"/>
        </w:numPr>
        <w:spacing w:after="120" w:line="276" w:lineRule="auto"/>
        <w:jc w:val="both"/>
        <w:rPr>
          <w:rFonts w:ascii="Times New Roman" w:hAnsi="Times New Roman" w:cs="Times New Roman"/>
          <w:sz w:val="20"/>
          <w:highlight w:val="yellow"/>
        </w:rPr>
      </w:pPr>
      <w:r>
        <w:br w:type="page"/>
      </w:r>
    </w:p>
    <w:p w:rsidR="00DC75FA" w:rsidRDefault="00887D84">
      <w:pPr>
        <w:pStyle w:val="Nagwek2"/>
        <w:rPr>
          <w:rFonts w:ascii="Times New Roman" w:hAnsi="Times New Roman" w:cs="Times New Roman"/>
        </w:rPr>
      </w:pPr>
      <w:bookmarkStart w:id="201" w:name="_Toc116896693"/>
      <w:bookmarkStart w:id="202" w:name="_Toc105754718"/>
      <w:r>
        <w:rPr>
          <w:rFonts w:ascii="Times New Roman" w:hAnsi="Times New Roman" w:cs="Times New Roman"/>
        </w:rPr>
        <w:lastRenderedPageBreak/>
        <w:t>Spis tabel</w:t>
      </w:r>
      <w:bookmarkEnd w:id="201"/>
      <w:bookmarkEnd w:id="202"/>
    </w:p>
    <w:p w:rsidR="00DC75FA" w:rsidRDefault="00DC75FA">
      <w:pPr>
        <w:pStyle w:val="Bezodstpw"/>
        <w:spacing w:line="276" w:lineRule="auto"/>
        <w:contextualSpacing/>
        <w:jc w:val="both"/>
        <w:outlineLvl w:val="1"/>
      </w:pPr>
    </w:p>
    <w:p w:rsidR="00DC75FA" w:rsidRDefault="00887D84">
      <w:pPr>
        <w:pStyle w:val="Spisilustracji"/>
        <w:tabs>
          <w:tab w:val="right" w:leader="dot" w:pos="9628"/>
        </w:tabs>
        <w:rPr>
          <w:rFonts w:ascii="Times New Roman" w:eastAsiaTheme="minorEastAsia" w:hAnsi="Times New Roman" w:cs="Times New Roman"/>
          <w:lang w:eastAsia="pl-PL"/>
        </w:rPr>
      </w:pPr>
      <w:r>
        <w:fldChar w:fldCharType="begin"/>
      </w:r>
      <w:r>
        <w:rPr>
          <w:rStyle w:val="czeindeksu"/>
          <w:rFonts w:ascii="Times New Roman" w:hAnsi="Times New Roman" w:cs="Times New Roman"/>
        </w:rPr>
        <w:instrText>TOC \c "Tabela"</w:instrText>
      </w:r>
      <w:r>
        <w:rPr>
          <w:rStyle w:val="czeindeksu"/>
        </w:rPr>
        <w:fldChar w:fldCharType="separate"/>
      </w:r>
      <w:hyperlink w:anchor="_Toc75899279">
        <w:r>
          <w:rPr>
            <w:rStyle w:val="czeindeksu"/>
            <w:rFonts w:ascii="Times New Roman" w:hAnsi="Times New Roman" w:cs="Times New Roman"/>
          </w:rPr>
          <w:t>Tabela 1: Podstawowe informacje o OF</w:t>
        </w:r>
        <w:r>
          <w:rPr>
            <w:webHidden/>
          </w:rPr>
          <w:fldChar w:fldCharType="begin"/>
        </w:r>
        <w:r>
          <w:rPr>
            <w:webHidden/>
          </w:rPr>
          <w:instrText>PAGEREF _Toc75899279 \h</w:instrText>
        </w:r>
        <w:r>
          <w:rPr>
            <w:webHidden/>
          </w:rPr>
        </w:r>
        <w:r>
          <w:rPr>
            <w:webHidden/>
          </w:rPr>
          <w:fldChar w:fldCharType="separate"/>
        </w:r>
        <w:r>
          <w:rPr>
            <w:rStyle w:val="czeindeksu"/>
            <w:rFonts w:ascii="Times New Roman" w:hAnsi="Times New Roman" w:cs="Times New Roman"/>
          </w:rPr>
          <w:tab/>
          <w:t>4</w:t>
        </w:r>
        <w:r>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80">
        <w:r w:rsidR="00887D84">
          <w:rPr>
            <w:rStyle w:val="czeindeksu"/>
            <w:rFonts w:ascii="Times New Roman" w:hAnsi="Times New Roman" w:cs="Times New Roman"/>
          </w:rPr>
          <w:t>Tabela 2: Udział powierzchni poszczególnych JST w powierzchni OF ogółem</w:t>
        </w:r>
        <w:r w:rsidR="00887D84">
          <w:rPr>
            <w:webHidden/>
          </w:rPr>
          <w:fldChar w:fldCharType="begin"/>
        </w:r>
        <w:r w:rsidR="00887D84">
          <w:rPr>
            <w:webHidden/>
          </w:rPr>
          <w:instrText>PAGEREF _Toc75899280 \h</w:instrText>
        </w:r>
        <w:r w:rsidR="00887D84">
          <w:rPr>
            <w:webHidden/>
          </w:rPr>
        </w:r>
        <w:r w:rsidR="00887D84">
          <w:rPr>
            <w:webHidden/>
          </w:rPr>
          <w:fldChar w:fldCharType="separate"/>
        </w:r>
        <w:r w:rsidR="00887D84">
          <w:rPr>
            <w:rStyle w:val="czeindeksu"/>
            <w:rFonts w:ascii="Times New Roman" w:hAnsi="Times New Roman" w:cs="Times New Roman"/>
          </w:rPr>
          <w:tab/>
          <w:t>5</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81">
        <w:r w:rsidR="00887D84">
          <w:rPr>
            <w:rStyle w:val="czeindeksu"/>
            <w:rFonts w:ascii="Times New Roman" w:hAnsi="Times New Roman" w:cs="Times New Roman"/>
          </w:rPr>
          <w:t>Tabela 3: Liczba ludności w poszczególnych JST OF w latach 2015–2019</w:t>
        </w:r>
        <w:r w:rsidR="00887D84">
          <w:rPr>
            <w:webHidden/>
          </w:rPr>
          <w:fldChar w:fldCharType="begin"/>
        </w:r>
        <w:r w:rsidR="00887D84">
          <w:rPr>
            <w:webHidden/>
          </w:rPr>
          <w:instrText>PAGEREF _Toc75899281 \h</w:instrText>
        </w:r>
        <w:r w:rsidR="00887D84">
          <w:rPr>
            <w:webHidden/>
          </w:rPr>
        </w:r>
        <w:r w:rsidR="00887D84">
          <w:rPr>
            <w:webHidden/>
          </w:rPr>
          <w:fldChar w:fldCharType="separate"/>
        </w:r>
        <w:r w:rsidR="00887D84">
          <w:rPr>
            <w:rStyle w:val="czeindeksu"/>
            <w:rFonts w:ascii="Times New Roman" w:hAnsi="Times New Roman" w:cs="Times New Roman"/>
          </w:rPr>
          <w:tab/>
          <w:t>7</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82">
        <w:r w:rsidR="00887D84">
          <w:rPr>
            <w:rStyle w:val="czeindeksu"/>
            <w:rFonts w:ascii="Times New Roman" w:hAnsi="Times New Roman" w:cs="Times New Roman"/>
          </w:rPr>
          <w:t>Tabela 4: Współczynnik feminizacji w poszczególnych JST OF w latach 2015–2019</w:t>
        </w:r>
        <w:r w:rsidR="00887D84">
          <w:rPr>
            <w:webHidden/>
          </w:rPr>
          <w:fldChar w:fldCharType="begin"/>
        </w:r>
        <w:r w:rsidR="00887D84">
          <w:rPr>
            <w:webHidden/>
          </w:rPr>
          <w:instrText>PAGEREF _Toc75899282 \h</w:instrText>
        </w:r>
        <w:r w:rsidR="00887D84">
          <w:rPr>
            <w:webHidden/>
          </w:rPr>
        </w:r>
        <w:r w:rsidR="00887D84">
          <w:rPr>
            <w:webHidden/>
          </w:rPr>
          <w:fldChar w:fldCharType="separate"/>
        </w:r>
        <w:r w:rsidR="00887D84">
          <w:rPr>
            <w:rStyle w:val="czeindeksu"/>
            <w:rFonts w:ascii="Times New Roman" w:hAnsi="Times New Roman" w:cs="Times New Roman"/>
          </w:rPr>
          <w:tab/>
          <w:t>7</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83">
        <w:r w:rsidR="00887D84">
          <w:rPr>
            <w:rStyle w:val="czeindeksu"/>
            <w:rFonts w:ascii="Times New Roman" w:hAnsi="Times New Roman" w:cs="Times New Roman"/>
          </w:rPr>
          <w:t>Tabela 5: Ludność na 1 km2 w poszczególnych JST OF w latach 2015–2019</w:t>
        </w:r>
        <w:r w:rsidR="00887D84">
          <w:rPr>
            <w:webHidden/>
          </w:rPr>
          <w:fldChar w:fldCharType="begin"/>
        </w:r>
        <w:r w:rsidR="00887D84">
          <w:rPr>
            <w:webHidden/>
          </w:rPr>
          <w:instrText>PAGEREF _Toc75899283 \h</w:instrText>
        </w:r>
        <w:r w:rsidR="00887D84">
          <w:rPr>
            <w:webHidden/>
          </w:rPr>
        </w:r>
        <w:r w:rsidR="00887D84">
          <w:rPr>
            <w:webHidden/>
          </w:rPr>
          <w:fldChar w:fldCharType="separate"/>
        </w:r>
        <w:r w:rsidR="00887D84">
          <w:rPr>
            <w:rStyle w:val="czeindeksu"/>
            <w:rFonts w:ascii="Times New Roman" w:hAnsi="Times New Roman" w:cs="Times New Roman"/>
          </w:rPr>
          <w:tab/>
          <w:t>8</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84">
        <w:r w:rsidR="00887D84">
          <w:rPr>
            <w:rStyle w:val="czeindeksu"/>
            <w:rFonts w:ascii="Times New Roman" w:hAnsi="Times New Roman" w:cs="Times New Roman"/>
          </w:rPr>
          <w:t>Tabela 6: Małżeństwa na 1 000 ludności w poszczególnych JST OF w latach 2015-2019</w:t>
        </w:r>
        <w:r w:rsidR="00887D84">
          <w:rPr>
            <w:webHidden/>
          </w:rPr>
          <w:fldChar w:fldCharType="begin"/>
        </w:r>
        <w:r w:rsidR="00887D84">
          <w:rPr>
            <w:webHidden/>
          </w:rPr>
          <w:instrText>PAGEREF _Toc75899284 \h</w:instrText>
        </w:r>
        <w:r w:rsidR="00887D84">
          <w:rPr>
            <w:webHidden/>
          </w:rPr>
        </w:r>
        <w:r w:rsidR="00887D84">
          <w:rPr>
            <w:webHidden/>
          </w:rPr>
          <w:fldChar w:fldCharType="separate"/>
        </w:r>
        <w:r w:rsidR="00887D84">
          <w:rPr>
            <w:rStyle w:val="czeindeksu"/>
            <w:rFonts w:ascii="Times New Roman" w:hAnsi="Times New Roman" w:cs="Times New Roman"/>
          </w:rPr>
          <w:tab/>
          <w:t>10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85">
        <w:r w:rsidR="00887D84">
          <w:rPr>
            <w:rStyle w:val="czeindeksu"/>
            <w:rFonts w:ascii="Times New Roman" w:hAnsi="Times New Roman" w:cs="Times New Roman"/>
          </w:rPr>
          <w:t>Tabela 7: Ludność wg grup wieku w poszczególnych JST OF w latach 2015–2019</w:t>
        </w:r>
        <w:r w:rsidR="00887D84">
          <w:rPr>
            <w:webHidden/>
          </w:rPr>
          <w:fldChar w:fldCharType="begin"/>
        </w:r>
        <w:r w:rsidR="00887D84">
          <w:rPr>
            <w:webHidden/>
          </w:rPr>
          <w:instrText>PAGEREF _Toc75899285 \h</w:instrText>
        </w:r>
        <w:r w:rsidR="00887D84">
          <w:rPr>
            <w:webHidden/>
          </w:rPr>
        </w:r>
        <w:r w:rsidR="00887D84">
          <w:rPr>
            <w:webHidden/>
          </w:rPr>
          <w:fldChar w:fldCharType="separate"/>
        </w:r>
        <w:r w:rsidR="00887D84">
          <w:rPr>
            <w:rStyle w:val="czeindeksu"/>
            <w:rFonts w:ascii="Times New Roman" w:hAnsi="Times New Roman" w:cs="Times New Roman"/>
          </w:rPr>
          <w:tab/>
          <w:t>11</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86">
        <w:r w:rsidR="00887D84">
          <w:rPr>
            <w:rStyle w:val="czeindeksu"/>
            <w:rFonts w:ascii="Times New Roman" w:hAnsi="Times New Roman" w:cs="Times New Roman"/>
          </w:rPr>
          <w:t>Tabela 8: Struktura zarejestrowanych bezrobotnych w poszczególnych JST OF w latach 2015–2019</w:t>
        </w:r>
        <w:r w:rsidR="00887D84">
          <w:rPr>
            <w:webHidden/>
          </w:rPr>
          <w:fldChar w:fldCharType="begin"/>
        </w:r>
        <w:r w:rsidR="00887D84">
          <w:rPr>
            <w:webHidden/>
          </w:rPr>
          <w:instrText>PAGEREF _Toc75899286 \h</w:instrText>
        </w:r>
        <w:r w:rsidR="00887D84">
          <w:rPr>
            <w:webHidden/>
          </w:rPr>
        </w:r>
        <w:r w:rsidR="00887D84">
          <w:rPr>
            <w:webHidden/>
          </w:rPr>
          <w:fldChar w:fldCharType="separate"/>
        </w:r>
        <w:r w:rsidR="00887D84">
          <w:rPr>
            <w:rStyle w:val="czeindeksu"/>
            <w:rFonts w:ascii="Times New Roman" w:hAnsi="Times New Roman" w:cs="Times New Roman"/>
          </w:rPr>
          <w:tab/>
          <w:t>20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87">
        <w:r w:rsidR="00887D84">
          <w:rPr>
            <w:rStyle w:val="czeindeksu"/>
            <w:rFonts w:ascii="Times New Roman" w:hAnsi="Times New Roman" w:cs="Times New Roman"/>
          </w:rPr>
          <w:t>Tabela 9: Liczba uczniów w przedszkolach, oddziałach przedszkolnych oraz punktach przedszkolnych w poszczególnych JST na terenie OF</w:t>
        </w:r>
        <w:r w:rsidR="00887D84">
          <w:rPr>
            <w:webHidden/>
          </w:rPr>
          <w:fldChar w:fldCharType="begin"/>
        </w:r>
        <w:r w:rsidR="00887D84">
          <w:rPr>
            <w:webHidden/>
          </w:rPr>
          <w:instrText>PAGEREF _Toc75899287 \h</w:instrText>
        </w:r>
        <w:r w:rsidR="00887D84">
          <w:rPr>
            <w:webHidden/>
          </w:rPr>
        </w:r>
        <w:r w:rsidR="00887D84">
          <w:rPr>
            <w:webHidden/>
          </w:rPr>
          <w:fldChar w:fldCharType="separate"/>
        </w:r>
        <w:r w:rsidR="00887D84">
          <w:rPr>
            <w:rStyle w:val="czeindeksu"/>
            <w:rFonts w:ascii="Times New Roman" w:hAnsi="Times New Roman" w:cs="Times New Roman"/>
          </w:rPr>
          <w:tab/>
          <w:t>27</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88">
        <w:r w:rsidR="00887D84">
          <w:rPr>
            <w:rStyle w:val="czeindeksu"/>
            <w:rFonts w:ascii="Times New Roman" w:hAnsi="Times New Roman" w:cs="Times New Roman"/>
          </w:rPr>
          <w:t>Tabela 10: Liczba uczniów w szkołach podstawowych w poszczególnych JST na terenie OF</w:t>
        </w:r>
        <w:r w:rsidR="00887D84">
          <w:rPr>
            <w:webHidden/>
          </w:rPr>
          <w:fldChar w:fldCharType="begin"/>
        </w:r>
        <w:r w:rsidR="00887D84">
          <w:rPr>
            <w:webHidden/>
          </w:rPr>
          <w:instrText>PAGEREF _Toc75899288 \h</w:instrText>
        </w:r>
        <w:r w:rsidR="00887D84">
          <w:rPr>
            <w:webHidden/>
          </w:rPr>
        </w:r>
        <w:r w:rsidR="00887D84">
          <w:rPr>
            <w:webHidden/>
          </w:rPr>
          <w:fldChar w:fldCharType="separate"/>
        </w:r>
        <w:r w:rsidR="00887D84">
          <w:rPr>
            <w:rStyle w:val="czeindeksu"/>
            <w:rFonts w:ascii="Times New Roman" w:hAnsi="Times New Roman" w:cs="Times New Roman"/>
          </w:rPr>
          <w:tab/>
          <w:t>28</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89">
        <w:r w:rsidR="00887D84">
          <w:rPr>
            <w:rStyle w:val="czeindeksu"/>
            <w:rFonts w:ascii="Times New Roman" w:hAnsi="Times New Roman" w:cs="Times New Roman"/>
          </w:rPr>
          <w:t>Tabela 11: Zasoby mieszkaniowe na obszarze OF w latach 2015-2018 – wskaźniki</w:t>
        </w:r>
        <w:r w:rsidR="00887D84">
          <w:rPr>
            <w:webHidden/>
          </w:rPr>
          <w:fldChar w:fldCharType="begin"/>
        </w:r>
        <w:r w:rsidR="00887D84">
          <w:rPr>
            <w:webHidden/>
          </w:rPr>
          <w:instrText>PAGEREF _Toc75899289 \h</w:instrText>
        </w:r>
        <w:r w:rsidR="00887D84">
          <w:rPr>
            <w:webHidden/>
          </w:rPr>
        </w:r>
        <w:r w:rsidR="00887D84">
          <w:rPr>
            <w:webHidden/>
          </w:rPr>
          <w:fldChar w:fldCharType="separate"/>
        </w:r>
        <w:r w:rsidR="00887D84">
          <w:rPr>
            <w:rStyle w:val="czeindeksu"/>
            <w:rFonts w:ascii="Times New Roman" w:hAnsi="Times New Roman" w:cs="Times New Roman"/>
          </w:rPr>
          <w:tab/>
          <w:t>30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90">
        <w:r w:rsidR="00887D84">
          <w:rPr>
            <w:rStyle w:val="czeindeksu"/>
            <w:rFonts w:ascii="Times New Roman" w:hAnsi="Times New Roman" w:cs="Times New Roman"/>
          </w:rPr>
          <w:t>Tabela 12: Gospodarstwa domowe z dochodami z różnych źródeł</w:t>
        </w:r>
        <w:r w:rsidR="00887D84">
          <w:rPr>
            <w:webHidden/>
          </w:rPr>
          <w:fldChar w:fldCharType="begin"/>
        </w:r>
        <w:r w:rsidR="00887D84">
          <w:rPr>
            <w:webHidden/>
          </w:rPr>
          <w:instrText>PAGEREF _Toc75899290 \h</w:instrText>
        </w:r>
        <w:r w:rsidR="00887D84">
          <w:rPr>
            <w:webHidden/>
          </w:rPr>
        </w:r>
        <w:r w:rsidR="00887D84">
          <w:rPr>
            <w:webHidden/>
          </w:rPr>
          <w:fldChar w:fldCharType="separate"/>
        </w:r>
        <w:r w:rsidR="00887D84">
          <w:rPr>
            <w:rStyle w:val="czeindeksu"/>
            <w:rFonts w:ascii="Times New Roman" w:hAnsi="Times New Roman" w:cs="Times New Roman"/>
          </w:rPr>
          <w:tab/>
          <w:t>35</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91">
        <w:r w:rsidR="00887D84">
          <w:rPr>
            <w:rStyle w:val="czeindeksu"/>
            <w:rFonts w:ascii="Times New Roman" w:hAnsi="Times New Roman" w:cs="Times New Roman"/>
          </w:rPr>
          <w:t>Tabela 13: Gospodarstwa z uprawą wg rodzaju i powierzchni zasiewów</w:t>
        </w:r>
        <w:r w:rsidR="00887D84">
          <w:rPr>
            <w:webHidden/>
          </w:rPr>
          <w:fldChar w:fldCharType="begin"/>
        </w:r>
        <w:r w:rsidR="00887D84">
          <w:rPr>
            <w:webHidden/>
          </w:rPr>
          <w:instrText>PAGEREF _Toc75899291 \h</w:instrText>
        </w:r>
        <w:r w:rsidR="00887D84">
          <w:rPr>
            <w:webHidden/>
          </w:rPr>
        </w:r>
        <w:r w:rsidR="00887D84">
          <w:rPr>
            <w:webHidden/>
          </w:rPr>
          <w:fldChar w:fldCharType="separate"/>
        </w:r>
        <w:r w:rsidR="00887D84">
          <w:rPr>
            <w:rStyle w:val="czeindeksu"/>
            <w:rFonts w:ascii="Times New Roman" w:hAnsi="Times New Roman" w:cs="Times New Roman"/>
          </w:rPr>
          <w:tab/>
          <w:t>35</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92">
        <w:r w:rsidR="00887D84">
          <w:rPr>
            <w:rStyle w:val="czeindeksu"/>
            <w:rFonts w:ascii="Times New Roman" w:hAnsi="Times New Roman" w:cs="Times New Roman"/>
          </w:rPr>
          <w:t>Tabela 14: Podmioty gospodarcze wpisane do rejestru REGON wg klas wielkości w poszczególnych JST OF w latach 2015-2019</w:t>
        </w:r>
        <w:r w:rsidR="00887D84">
          <w:rPr>
            <w:webHidden/>
          </w:rPr>
          <w:fldChar w:fldCharType="begin"/>
        </w:r>
        <w:r w:rsidR="00887D84">
          <w:rPr>
            <w:webHidden/>
          </w:rPr>
          <w:instrText>PAGEREF _Toc75899292 \h</w:instrText>
        </w:r>
        <w:r w:rsidR="00887D84">
          <w:rPr>
            <w:webHidden/>
          </w:rPr>
        </w:r>
        <w:r w:rsidR="00887D84">
          <w:rPr>
            <w:webHidden/>
          </w:rPr>
          <w:fldChar w:fldCharType="separate"/>
        </w:r>
        <w:r w:rsidR="00887D84">
          <w:rPr>
            <w:rStyle w:val="czeindeksu"/>
            <w:rFonts w:ascii="Times New Roman" w:hAnsi="Times New Roman" w:cs="Times New Roman"/>
          </w:rPr>
          <w:tab/>
          <w:t>39</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93">
        <w:r w:rsidR="00887D84">
          <w:rPr>
            <w:rStyle w:val="czeindeksu"/>
            <w:rFonts w:ascii="Times New Roman" w:hAnsi="Times New Roman" w:cs="Times New Roman"/>
          </w:rPr>
          <w:t>Tabela 15: Podmioty gospodarcze wg grup rodzajów działalności PKD 2007 w poszczególnych JST OF w latach 2015-2019</w:t>
        </w:r>
        <w:r w:rsidR="00887D84">
          <w:rPr>
            <w:webHidden/>
          </w:rPr>
          <w:fldChar w:fldCharType="begin"/>
        </w:r>
        <w:r w:rsidR="00887D84">
          <w:rPr>
            <w:webHidden/>
          </w:rPr>
          <w:instrText>PAGEREF _Toc75899293 \h</w:instrText>
        </w:r>
        <w:r w:rsidR="00887D84">
          <w:rPr>
            <w:webHidden/>
          </w:rPr>
        </w:r>
        <w:r w:rsidR="00887D84">
          <w:rPr>
            <w:webHidden/>
          </w:rPr>
          <w:fldChar w:fldCharType="separate"/>
        </w:r>
        <w:r w:rsidR="00887D84">
          <w:rPr>
            <w:rStyle w:val="czeindeksu"/>
            <w:rFonts w:ascii="Times New Roman" w:hAnsi="Times New Roman" w:cs="Times New Roman"/>
          </w:rPr>
          <w:tab/>
          <w:t>40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94">
        <w:r w:rsidR="00887D84">
          <w:rPr>
            <w:rStyle w:val="czeindeksu"/>
            <w:rFonts w:ascii="Times New Roman" w:hAnsi="Times New Roman" w:cs="Times New Roman"/>
          </w:rPr>
          <w:t>Tabela 16: Podmioty gospodarki narodowej wpisane do rejestru REGON wg sekcji PKD 2007 w poszczególnych JST na terenie OF w latach 2015-2019</w:t>
        </w:r>
        <w:r w:rsidR="00887D84">
          <w:rPr>
            <w:webHidden/>
          </w:rPr>
          <w:fldChar w:fldCharType="begin"/>
        </w:r>
        <w:r w:rsidR="00887D84">
          <w:rPr>
            <w:webHidden/>
          </w:rPr>
          <w:instrText>PAGEREF _Toc75899294 \h</w:instrText>
        </w:r>
        <w:r w:rsidR="00887D84">
          <w:rPr>
            <w:webHidden/>
          </w:rPr>
        </w:r>
        <w:r w:rsidR="00887D84">
          <w:rPr>
            <w:webHidden/>
          </w:rPr>
          <w:fldChar w:fldCharType="separate"/>
        </w:r>
        <w:r w:rsidR="00887D84">
          <w:rPr>
            <w:rStyle w:val="czeindeksu"/>
            <w:rFonts w:ascii="Times New Roman" w:hAnsi="Times New Roman" w:cs="Times New Roman"/>
          </w:rPr>
          <w:tab/>
          <w:t>43</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95">
        <w:r w:rsidR="00887D84">
          <w:rPr>
            <w:rStyle w:val="czeindeksu"/>
            <w:rFonts w:ascii="Times New Roman" w:hAnsi="Times New Roman" w:cs="Times New Roman"/>
          </w:rPr>
          <w:t>Tabela 17 Wybrane jeziora i torfowiska z obszaru współpracy ponadlokalnej Zielone Zagłębie</w:t>
        </w:r>
        <w:r w:rsidR="00887D84">
          <w:rPr>
            <w:webHidden/>
          </w:rPr>
          <w:fldChar w:fldCharType="begin"/>
        </w:r>
        <w:r w:rsidR="00887D84">
          <w:rPr>
            <w:webHidden/>
          </w:rPr>
          <w:instrText>PAGEREF _Toc75899295 \h</w:instrText>
        </w:r>
        <w:r w:rsidR="00887D84">
          <w:rPr>
            <w:webHidden/>
          </w:rPr>
        </w:r>
        <w:r w:rsidR="00887D84">
          <w:rPr>
            <w:webHidden/>
          </w:rPr>
          <w:fldChar w:fldCharType="separate"/>
        </w:r>
        <w:r w:rsidR="00887D84">
          <w:rPr>
            <w:rStyle w:val="czeindeksu"/>
            <w:rFonts w:ascii="Times New Roman" w:hAnsi="Times New Roman" w:cs="Times New Roman"/>
          </w:rPr>
          <w:tab/>
          <w:t>53</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96">
        <w:r w:rsidR="00887D84">
          <w:rPr>
            <w:rStyle w:val="czeindeksu"/>
            <w:rFonts w:ascii="Times New Roman" w:hAnsi="Times New Roman" w:cs="Times New Roman"/>
          </w:rPr>
          <w:t>Tabela 18 Beneficjenci środowiskowej pomocy społecznej - wskaźniki</w:t>
        </w:r>
        <w:r w:rsidR="00887D84">
          <w:rPr>
            <w:webHidden/>
          </w:rPr>
          <w:fldChar w:fldCharType="begin"/>
        </w:r>
        <w:r w:rsidR="00887D84">
          <w:rPr>
            <w:webHidden/>
          </w:rPr>
          <w:instrText>PAGEREF _Toc75899296 \h</w:instrText>
        </w:r>
        <w:r w:rsidR="00887D84">
          <w:rPr>
            <w:webHidden/>
          </w:rPr>
        </w:r>
        <w:r w:rsidR="00887D84">
          <w:rPr>
            <w:webHidden/>
          </w:rPr>
          <w:fldChar w:fldCharType="separate"/>
        </w:r>
        <w:r w:rsidR="00887D84">
          <w:rPr>
            <w:rStyle w:val="czeindeksu"/>
            <w:rFonts w:ascii="Times New Roman" w:hAnsi="Times New Roman" w:cs="Times New Roman"/>
          </w:rPr>
          <w:tab/>
          <w:t>60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97">
        <w:r w:rsidR="00887D84">
          <w:rPr>
            <w:rStyle w:val="czeindeksu"/>
            <w:rFonts w:ascii="Times New Roman" w:hAnsi="Times New Roman" w:cs="Times New Roman"/>
          </w:rPr>
          <w:t>Tabela 19: Zagrożenie przestępczością na terenie JST wchodzących w skład OF w poszczególnych kategoriach w 2019 r.</w:t>
        </w:r>
        <w:r w:rsidR="00887D84">
          <w:rPr>
            <w:webHidden/>
          </w:rPr>
          <w:fldChar w:fldCharType="begin"/>
        </w:r>
        <w:r w:rsidR="00887D84">
          <w:rPr>
            <w:webHidden/>
          </w:rPr>
          <w:instrText>PAGEREF _Toc75899297 \h</w:instrText>
        </w:r>
        <w:r w:rsidR="00887D84">
          <w:rPr>
            <w:webHidden/>
          </w:rPr>
        </w:r>
        <w:r w:rsidR="00887D84">
          <w:rPr>
            <w:webHidden/>
          </w:rPr>
          <w:fldChar w:fldCharType="separate"/>
        </w:r>
        <w:r w:rsidR="00887D84">
          <w:rPr>
            <w:rStyle w:val="czeindeksu"/>
            <w:rFonts w:ascii="Times New Roman" w:hAnsi="Times New Roman" w:cs="Times New Roman"/>
          </w:rPr>
          <w:tab/>
          <w:t>60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298">
        <w:r w:rsidR="00887D84">
          <w:rPr>
            <w:rStyle w:val="czeindeksu"/>
            <w:rFonts w:ascii="Times New Roman" w:hAnsi="Times New Roman" w:cs="Times New Roman"/>
          </w:rPr>
          <w:t>Tabela 20: Dochody i wydatki budżetów gmin wchodzących w skład OF ogółem (w zł) w latach 2017-2019</w:t>
        </w:r>
        <w:r w:rsidR="00887D84">
          <w:rPr>
            <w:webHidden/>
          </w:rPr>
          <w:fldChar w:fldCharType="begin"/>
        </w:r>
        <w:r w:rsidR="00887D84">
          <w:rPr>
            <w:webHidden/>
          </w:rPr>
          <w:instrText>PAGEREF _Toc75899298 \h</w:instrText>
        </w:r>
        <w:r w:rsidR="00887D84">
          <w:rPr>
            <w:webHidden/>
          </w:rPr>
        </w:r>
        <w:r w:rsidR="00887D84">
          <w:rPr>
            <w:webHidden/>
          </w:rPr>
          <w:fldChar w:fldCharType="separate"/>
        </w:r>
        <w:r w:rsidR="00887D84">
          <w:rPr>
            <w:rStyle w:val="czeindeksu"/>
            <w:rFonts w:ascii="Times New Roman" w:hAnsi="Times New Roman" w:cs="Times New Roman"/>
          </w:rPr>
          <w:tab/>
          <w:t>62</w:t>
        </w:r>
        <w:r w:rsidR="00887D84">
          <w:rPr>
            <w:webHidden/>
          </w:rPr>
          <w:fldChar w:fldCharType="end"/>
        </w:r>
      </w:hyperlink>
    </w:p>
    <w:p w:rsidR="00DC75FA" w:rsidRDefault="00887D84">
      <w:pPr>
        <w:pStyle w:val="Spisilustracji"/>
        <w:tabs>
          <w:tab w:val="right" w:leader="dot" w:pos="9062"/>
        </w:tabs>
        <w:ind w:left="993" w:hanging="993"/>
        <w:rPr>
          <w:rFonts w:ascii="Times New Roman" w:hAnsi="Times New Roman" w:cs="Times New Roman"/>
          <w:b/>
          <w:sz w:val="20"/>
          <w:szCs w:val="20"/>
          <w:highlight w:val="yellow"/>
          <w:lang w:val="en-US"/>
        </w:rPr>
      </w:pPr>
      <w:r>
        <w:rPr>
          <w:rFonts w:ascii="Times New Roman" w:hAnsi="Times New Roman" w:cs="Times New Roman"/>
          <w:b/>
          <w:sz w:val="20"/>
          <w:szCs w:val="20"/>
          <w:highlight w:val="yellow"/>
        </w:rPr>
        <w:fldChar w:fldCharType="end"/>
      </w:r>
    </w:p>
    <w:p w:rsidR="00DC75FA" w:rsidRDefault="00887D84">
      <w:pPr>
        <w:pStyle w:val="Nagwek2"/>
        <w:rPr>
          <w:rFonts w:ascii="Times New Roman" w:hAnsi="Times New Roman" w:cs="Times New Roman"/>
        </w:rPr>
      </w:pPr>
      <w:bookmarkStart w:id="203" w:name="_Toc116896694"/>
      <w:bookmarkStart w:id="204" w:name="_Toc105754719"/>
      <w:r>
        <w:rPr>
          <w:rFonts w:ascii="Times New Roman" w:hAnsi="Times New Roman" w:cs="Times New Roman"/>
        </w:rPr>
        <w:t>Spis rysunków</w:t>
      </w:r>
      <w:bookmarkEnd w:id="203"/>
      <w:bookmarkEnd w:id="204"/>
    </w:p>
    <w:p w:rsidR="00DC75FA" w:rsidRDefault="00DC75FA">
      <w:pPr>
        <w:pStyle w:val="Bezodstpw"/>
        <w:spacing w:line="276" w:lineRule="auto"/>
        <w:contextualSpacing/>
        <w:jc w:val="both"/>
        <w:outlineLvl w:val="1"/>
      </w:pPr>
    </w:p>
    <w:p w:rsidR="00DC75FA" w:rsidRDefault="00887D84">
      <w:pPr>
        <w:pStyle w:val="Spisilustracji"/>
        <w:tabs>
          <w:tab w:val="right" w:leader="dot" w:pos="9062"/>
        </w:tabs>
        <w:rPr>
          <w:rFonts w:ascii="Times New Roman" w:eastAsiaTheme="minorEastAsia" w:hAnsi="Times New Roman" w:cs="Times New Roman"/>
          <w:lang w:eastAsia="pl-PL"/>
        </w:rPr>
      </w:pPr>
      <w:r>
        <w:fldChar w:fldCharType="begin"/>
      </w:r>
      <w:r>
        <w:rPr>
          <w:rStyle w:val="czeindeksu"/>
          <w:rFonts w:ascii="Times New Roman" w:hAnsi="Times New Roman" w:cs="Times New Roman"/>
        </w:rPr>
        <w:instrText>TOC \c "Rysunek"</w:instrText>
      </w:r>
      <w:r>
        <w:rPr>
          <w:rStyle w:val="czeindeksu"/>
        </w:rPr>
        <w:fldChar w:fldCharType="separate"/>
      </w:r>
      <w:hyperlink w:anchor="_Toc116896698">
        <w:r>
          <w:rPr>
            <w:rStyle w:val="czeindeksu"/>
            <w:rFonts w:ascii="Times New Roman" w:hAnsi="Times New Roman" w:cs="Times New Roman"/>
          </w:rPr>
          <w:t>Rysunek 1: Herby i logotypy poszczególnych JST wchodzących w skład OF</w:t>
        </w:r>
        <w:r>
          <w:rPr>
            <w:webHidden/>
          </w:rPr>
          <w:fldChar w:fldCharType="begin"/>
        </w:r>
        <w:r>
          <w:rPr>
            <w:webHidden/>
          </w:rPr>
          <w:instrText>PAGEREF _Toc116896698 \h</w:instrText>
        </w:r>
        <w:r>
          <w:rPr>
            <w:webHidden/>
          </w:rPr>
        </w:r>
        <w:r>
          <w:rPr>
            <w:webHidden/>
          </w:rPr>
          <w:fldChar w:fldCharType="separate"/>
        </w:r>
        <w:r>
          <w:rPr>
            <w:rStyle w:val="czeindeksu"/>
            <w:rFonts w:ascii="Times New Roman" w:hAnsi="Times New Roman" w:cs="Times New Roman"/>
          </w:rPr>
          <w:tab/>
          <w:t>1</w:t>
        </w:r>
        <w:r>
          <w:rPr>
            <w:webHidden/>
          </w:rPr>
          <w:fldChar w:fldCharType="end"/>
        </w:r>
      </w:hyperlink>
    </w:p>
    <w:p w:rsidR="00DC75FA" w:rsidRDefault="00A47575">
      <w:pPr>
        <w:pStyle w:val="Spisilustracji"/>
        <w:tabs>
          <w:tab w:val="right" w:leader="dot" w:pos="9062"/>
        </w:tabs>
        <w:rPr>
          <w:rFonts w:ascii="Times New Roman" w:eastAsiaTheme="minorEastAsia" w:hAnsi="Times New Roman" w:cs="Times New Roman"/>
          <w:lang w:eastAsia="pl-PL"/>
        </w:rPr>
      </w:pPr>
      <w:hyperlink w:anchor="_Toc116896699">
        <w:r w:rsidR="00887D84">
          <w:rPr>
            <w:rStyle w:val="czeindeksu"/>
            <w:rFonts w:ascii="Times New Roman" w:hAnsi="Times New Roman" w:cs="Times New Roman"/>
          </w:rPr>
          <w:t>Rysunek 2: Mapa Gminy Cyców</w:t>
        </w:r>
        <w:r w:rsidR="00887D84">
          <w:rPr>
            <w:webHidden/>
          </w:rPr>
          <w:fldChar w:fldCharType="begin"/>
        </w:r>
        <w:r w:rsidR="00887D84">
          <w:rPr>
            <w:webHidden/>
          </w:rPr>
          <w:instrText>PAGEREF _Toc116896699 \h</w:instrText>
        </w:r>
        <w:r w:rsidR="00887D84">
          <w:rPr>
            <w:webHidden/>
          </w:rPr>
        </w:r>
        <w:r w:rsidR="00887D84">
          <w:rPr>
            <w:webHidden/>
          </w:rPr>
          <w:fldChar w:fldCharType="separate"/>
        </w:r>
        <w:r w:rsidR="00887D84">
          <w:rPr>
            <w:rStyle w:val="czeindeksu"/>
            <w:rFonts w:ascii="Times New Roman" w:hAnsi="Times New Roman" w:cs="Times New Roman"/>
          </w:rPr>
          <w:tab/>
          <w:t>2</w:t>
        </w:r>
        <w:r w:rsidR="00887D84">
          <w:rPr>
            <w:webHidden/>
          </w:rPr>
          <w:fldChar w:fldCharType="end"/>
        </w:r>
      </w:hyperlink>
    </w:p>
    <w:p w:rsidR="00DC75FA" w:rsidRDefault="00A47575">
      <w:pPr>
        <w:pStyle w:val="Spisilustracji"/>
        <w:tabs>
          <w:tab w:val="right" w:leader="dot" w:pos="9062"/>
        </w:tabs>
        <w:rPr>
          <w:rFonts w:ascii="Times New Roman" w:eastAsiaTheme="minorEastAsia" w:hAnsi="Times New Roman" w:cs="Times New Roman"/>
          <w:lang w:eastAsia="pl-PL"/>
        </w:rPr>
      </w:pPr>
      <w:hyperlink w:anchor="_Toc116896700">
        <w:r w:rsidR="00887D84">
          <w:rPr>
            <w:rStyle w:val="czeindeksu"/>
            <w:rFonts w:ascii="Times New Roman" w:hAnsi="Times New Roman" w:cs="Times New Roman"/>
          </w:rPr>
          <w:t>Rysunek 3: Mapa Gminy Milejów</w:t>
        </w:r>
        <w:r w:rsidR="00887D84">
          <w:rPr>
            <w:webHidden/>
          </w:rPr>
          <w:fldChar w:fldCharType="begin"/>
        </w:r>
        <w:r w:rsidR="00887D84">
          <w:rPr>
            <w:webHidden/>
          </w:rPr>
          <w:instrText>PAGEREF _Toc116896700 \h</w:instrText>
        </w:r>
        <w:r w:rsidR="00887D84">
          <w:rPr>
            <w:webHidden/>
          </w:rPr>
        </w:r>
        <w:r w:rsidR="00887D84">
          <w:rPr>
            <w:webHidden/>
          </w:rPr>
          <w:fldChar w:fldCharType="separate"/>
        </w:r>
        <w:r w:rsidR="00887D84">
          <w:rPr>
            <w:rStyle w:val="czeindeksu"/>
            <w:rFonts w:ascii="Times New Roman" w:hAnsi="Times New Roman" w:cs="Times New Roman"/>
          </w:rPr>
          <w:tab/>
          <w:t>2</w:t>
        </w:r>
        <w:r w:rsidR="00887D84">
          <w:rPr>
            <w:webHidden/>
          </w:rPr>
          <w:fldChar w:fldCharType="end"/>
        </w:r>
      </w:hyperlink>
    </w:p>
    <w:p w:rsidR="00DC75FA" w:rsidRDefault="00A47575">
      <w:pPr>
        <w:pStyle w:val="Spisilustracji"/>
        <w:tabs>
          <w:tab w:val="right" w:leader="dot" w:pos="9062"/>
        </w:tabs>
        <w:rPr>
          <w:rFonts w:ascii="Times New Roman" w:eastAsiaTheme="minorEastAsia" w:hAnsi="Times New Roman" w:cs="Times New Roman"/>
          <w:lang w:eastAsia="pl-PL"/>
        </w:rPr>
      </w:pPr>
      <w:hyperlink w:anchor="_Toc116896701">
        <w:r w:rsidR="00887D84">
          <w:rPr>
            <w:rStyle w:val="czeindeksu"/>
            <w:rFonts w:ascii="Times New Roman" w:hAnsi="Times New Roman" w:cs="Times New Roman"/>
          </w:rPr>
          <w:t>Rysunek 4: Mapa Gminy Ludwin</w:t>
        </w:r>
        <w:r w:rsidR="00887D84">
          <w:rPr>
            <w:webHidden/>
          </w:rPr>
          <w:fldChar w:fldCharType="begin"/>
        </w:r>
        <w:r w:rsidR="00887D84">
          <w:rPr>
            <w:webHidden/>
          </w:rPr>
          <w:instrText>PAGEREF _Toc116896701 \h</w:instrText>
        </w:r>
        <w:r w:rsidR="00887D84">
          <w:rPr>
            <w:webHidden/>
          </w:rPr>
        </w:r>
        <w:r w:rsidR="00887D84">
          <w:rPr>
            <w:webHidden/>
          </w:rPr>
          <w:fldChar w:fldCharType="separate"/>
        </w:r>
        <w:r w:rsidR="00887D84">
          <w:rPr>
            <w:rStyle w:val="czeindeksu"/>
            <w:rFonts w:ascii="Times New Roman" w:hAnsi="Times New Roman" w:cs="Times New Roman"/>
          </w:rPr>
          <w:tab/>
          <w:t>3</w:t>
        </w:r>
        <w:r w:rsidR="00887D84">
          <w:rPr>
            <w:webHidden/>
          </w:rPr>
          <w:fldChar w:fldCharType="end"/>
        </w:r>
      </w:hyperlink>
    </w:p>
    <w:p w:rsidR="00DC75FA" w:rsidRDefault="00A47575">
      <w:pPr>
        <w:pStyle w:val="Spisilustracji"/>
        <w:tabs>
          <w:tab w:val="right" w:leader="dot" w:pos="9062"/>
        </w:tabs>
        <w:rPr>
          <w:rFonts w:ascii="Times New Roman" w:eastAsiaTheme="minorEastAsia" w:hAnsi="Times New Roman" w:cs="Times New Roman"/>
          <w:lang w:eastAsia="pl-PL"/>
        </w:rPr>
      </w:pPr>
      <w:hyperlink w:anchor="_Toc116896702">
        <w:r w:rsidR="00887D84">
          <w:rPr>
            <w:rStyle w:val="czeindeksu"/>
            <w:rFonts w:ascii="Times New Roman" w:hAnsi="Times New Roman" w:cs="Times New Roman"/>
          </w:rPr>
          <w:t>Rysunek 5: Mapa Gminy Puchaczów</w:t>
        </w:r>
        <w:r w:rsidR="00887D84">
          <w:rPr>
            <w:webHidden/>
          </w:rPr>
          <w:fldChar w:fldCharType="begin"/>
        </w:r>
        <w:r w:rsidR="00887D84">
          <w:rPr>
            <w:webHidden/>
          </w:rPr>
          <w:instrText>PAGEREF _Toc116896702 \h</w:instrText>
        </w:r>
        <w:r w:rsidR="00887D84">
          <w:rPr>
            <w:webHidden/>
          </w:rPr>
        </w:r>
        <w:r w:rsidR="00887D84">
          <w:rPr>
            <w:webHidden/>
          </w:rPr>
          <w:fldChar w:fldCharType="separate"/>
        </w:r>
        <w:r w:rsidR="00887D84">
          <w:rPr>
            <w:rStyle w:val="czeindeksu"/>
            <w:rFonts w:ascii="Times New Roman" w:hAnsi="Times New Roman" w:cs="Times New Roman"/>
          </w:rPr>
          <w:tab/>
          <w:t>3</w:t>
        </w:r>
        <w:r w:rsidR="00887D84">
          <w:rPr>
            <w:webHidden/>
          </w:rPr>
          <w:fldChar w:fldCharType="end"/>
        </w:r>
      </w:hyperlink>
    </w:p>
    <w:p w:rsidR="00DC75FA" w:rsidRDefault="00A47575">
      <w:pPr>
        <w:pStyle w:val="Spisilustracji"/>
        <w:tabs>
          <w:tab w:val="right" w:leader="dot" w:pos="9062"/>
        </w:tabs>
        <w:rPr>
          <w:rFonts w:ascii="Times New Roman" w:eastAsiaTheme="minorEastAsia" w:hAnsi="Times New Roman" w:cs="Times New Roman"/>
          <w:lang w:eastAsia="pl-PL"/>
        </w:rPr>
      </w:pPr>
      <w:hyperlink w:anchor="_Toc116896703">
        <w:r w:rsidR="00887D84">
          <w:rPr>
            <w:rStyle w:val="czeindeksu"/>
            <w:rFonts w:ascii="Times New Roman" w:hAnsi="Times New Roman" w:cs="Times New Roman"/>
          </w:rPr>
          <w:t>Rysunek 6: Mapa Gminy Urszulin</w:t>
        </w:r>
        <w:r w:rsidR="00887D84">
          <w:rPr>
            <w:webHidden/>
          </w:rPr>
          <w:fldChar w:fldCharType="begin"/>
        </w:r>
        <w:r w:rsidR="00887D84">
          <w:rPr>
            <w:webHidden/>
          </w:rPr>
          <w:instrText>PAGEREF _Toc116896703 \h</w:instrText>
        </w:r>
        <w:r w:rsidR="00887D84">
          <w:rPr>
            <w:webHidden/>
          </w:rPr>
        </w:r>
        <w:r w:rsidR="00887D84">
          <w:rPr>
            <w:webHidden/>
          </w:rPr>
          <w:fldChar w:fldCharType="separate"/>
        </w:r>
        <w:r w:rsidR="00887D84">
          <w:rPr>
            <w:rStyle w:val="czeindeksu"/>
            <w:rFonts w:ascii="Times New Roman" w:hAnsi="Times New Roman" w:cs="Times New Roman"/>
          </w:rPr>
          <w:tab/>
          <w:t>4</w:t>
        </w:r>
        <w:r w:rsidR="00887D84">
          <w:rPr>
            <w:webHidden/>
          </w:rPr>
          <w:fldChar w:fldCharType="end"/>
        </w:r>
      </w:hyperlink>
    </w:p>
    <w:p w:rsidR="00DC75FA" w:rsidRDefault="00887D84">
      <w:pPr>
        <w:pStyle w:val="Bezodstpw"/>
        <w:spacing w:line="276" w:lineRule="auto"/>
        <w:contextualSpacing/>
        <w:jc w:val="both"/>
        <w:rPr>
          <w:rFonts w:ascii="Times New Roman" w:hAnsi="Times New Roman" w:cs="Times New Roman"/>
          <w:b/>
          <w:sz w:val="20"/>
          <w:szCs w:val="20"/>
        </w:rPr>
      </w:pPr>
      <w:r>
        <w:rPr>
          <w:rFonts w:ascii="Times New Roman" w:hAnsi="Times New Roman" w:cs="Times New Roman"/>
          <w:b/>
          <w:sz w:val="20"/>
          <w:szCs w:val="20"/>
        </w:rPr>
        <w:fldChar w:fldCharType="end"/>
      </w:r>
    </w:p>
    <w:p w:rsidR="00DC75FA" w:rsidRDefault="00887D84">
      <w:pPr>
        <w:pStyle w:val="Nagwek2"/>
        <w:rPr>
          <w:rFonts w:ascii="Times New Roman" w:hAnsi="Times New Roman" w:cs="Times New Roman"/>
        </w:rPr>
      </w:pPr>
      <w:bookmarkStart w:id="205" w:name="_Toc116896695"/>
      <w:bookmarkStart w:id="206" w:name="_Toc105754720"/>
      <w:r>
        <w:rPr>
          <w:rFonts w:ascii="Times New Roman" w:hAnsi="Times New Roman" w:cs="Times New Roman"/>
        </w:rPr>
        <w:t>Spis wykresów</w:t>
      </w:r>
      <w:bookmarkEnd w:id="205"/>
      <w:bookmarkEnd w:id="206"/>
    </w:p>
    <w:p w:rsidR="00DC75FA" w:rsidRDefault="00DC75FA">
      <w:pPr>
        <w:pStyle w:val="Bezodstpw"/>
        <w:spacing w:line="276" w:lineRule="auto"/>
        <w:contextualSpacing/>
        <w:jc w:val="both"/>
        <w:outlineLvl w:val="1"/>
      </w:pPr>
    </w:p>
    <w:p w:rsidR="00DC75FA" w:rsidRDefault="00887D84">
      <w:pPr>
        <w:pStyle w:val="Spisilustracji"/>
        <w:tabs>
          <w:tab w:val="right" w:leader="dot" w:pos="9628"/>
        </w:tabs>
        <w:rPr>
          <w:rFonts w:ascii="Times New Roman" w:eastAsiaTheme="minorEastAsia" w:hAnsi="Times New Roman" w:cs="Times New Roman"/>
          <w:lang w:eastAsia="pl-PL"/>
        </w:rPr>
      </w:pPr>
      <w:r>
        <w:fldChar w:fldCharType="begin"/>
      </w:r>
      <w:r>
        <w:rPr>
          <w:rStyle w:val="czeindeksu"/>
          <w:rFonts w:ascii="Times New Roman" w:hAnsi="Times New Roman" w:cs="Times New Roman"/>
        </w:rPr>
        <w:instrText>TOC \c "Wykres"</w:instrText>
      </w:r>
      <w:r>
        <w:rPr>
          <w:rStyle w:val="czeindeksu"/>
          <w:rFonts w:ascii="Times New Roman" w:hAnsi="Times New Roman" w:cs="Times New Roman"/>
        </w:rPr>
        <w:fldChar w:fldCharType="separate"/>
      </w:r>
      <w:hyperlink w:anchor="_Toc75899466">
        <w:r>
          <w:rPr>
            <w:rStyle w:val="czeindeksu"/>
            <w:rFonts w:ascii="Times New Roman" w:hAnsi="Times New Roman" w:cs="Times New Roman"/>
          </w:rPr>
          <w:t>Wykres 1: Powierzchnia OF wg kierunków wykorzystania</w:t>
        </w:r>
        <w:r>
          <w:rPr>
            <w:webHidden/>
          </w:rPr>
          <w:fldChar w:fldCharType="begin"/>
        </w:r>
        <w:r>
          <w:rPr>
            <w:webHidden/>
          </w:rPr>
          <w:instrText>PAGEREF _Toc75899466 \h</w:instrText>
        </w:r>
        <w:r>
          <w:rPr>
            <w:webHidden/>
          </w:rPr>
        </w:r>
        <w:r>
          <w:rPr>
            <w:webHidden/>
          </w:rPr>
          <w:fldChar w:fldCharType="separate"/>
        </w:r>
        <w:r>
          <w:rPr>
            <w:rStyle w:val="czeindeksu"/>
            <w:rFonts w:ascii="Times New Roman" w:hAnsi="Times New Roman" w:cs="Times New Roman"/>
          </w:rPr>
          <w:tab/>
          <w:t>5</w:t>
        </w:r>
        <w:r>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67">
        <w:r w:rsidR="00887D84">
          <w:rPr>
            <w:rStyle w:val="czeindeksu"/>
            <w:rFonts w:ascii="Times New Roman" w:hAnsi="Times New Roman" w:cs="Times New Roman"/>
          </w:rPr>
          <w:t>Wykres 2: Powierzchnia JST wchodzących w skład OF wg kierunków wykorzystania (w ha)</w:t>
        </w:r>
        <w:r w:rsidR="00887D84">
          <w:rPr>
            <w:webHidden/>
          </w:rPr>
          <w:fldChar w:fldCharType="begin"/>
        </w:r>
        <w:r w:rsidR="00887D84">
          <w:rPr>
            <w:webHidden/>
          </w:rPr>
          <w:instrText>PAGEREF _Toc75899467 \h</w:instrText>
        </w:r>
        <w:r w:rsidR="00887D84">
          <w:rPr>
            <w:webHidden/>
          </w:rPr>
        </w:r>
        <w:r w:rsidR="00887D84">
          <w:rPr>
            <w:webHidden/>
          </w:rPr>
          <w:fldChar w:fldCharType="separate"/>
        </w:r>
        <w:r w:rsidR="00887D84">
          <w:rPr>
            <w:rStyle w:val="czeindeksu"/>
            <w:rFonts w:ascii="Times New Roman" w:hAnsi="Times New Roman" w:cs="Times New Roman"/>
          </w:rPr>
          <w:tab/>
          <w:t>6</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68">
        <w:r w:rsidR="00887D84">
          <w:rPr>
            <w:rStyle w:val="czeindeksu"/>
            <w:rFonts w:ascii="Times New Roman" w:hAnsi="Times New Roman" w:cs="Times New Roman"/>
          </w:rPr>
          <w:t>Wykres 3: Powierzchnia JST wchodzących w skład OF wg kierunków wykorzystania (w %)</w:t>
        </w:r>
        <w:r w:rsidR="00887D84">
          <w:rPr>
            <w:webHidden/>
          </w:rPr>
          <w:fldChar w:fldCharType="begin"/>
        </w:r>
        <w:r w:rsidR="00887D84">
          <w:rPr>
            <w:webHidden/>
          </w:rPr>
          <w:instrText>PAGEREF _Toc75899468 \h</w:instrText>
        </w:r>
        <w:r w:rsidR="00887D84">
          <w:rPr>
            <w:webHidden/>
          </w:rPr>
        </w:r>
        <w:r w:rsidR="00887D84">
          <w:rPr>
            <w:webHidden/>
          </w:rPr>
          <w:fldChar w:fldCharType="separate"/>
        </w:r>
        <w:r w:rsidR="00887D84">
          <w:rPr>
            <w:rStyle w:val="czeindeksu"/>
            <w:rFonts w:ascii="Times New Roman" w:hAnsi="Times New Roman" w:cs="Times New Roman"/>
          </w:rPr>
          <w:tab/>
          <w:t>6</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69">
        <w:r w:rsidR="00887D84">
          <w:rPr>
            <w:rStyle w:val="czeindeksu"/>
            <w:rFonts w:ascii="Times New Roman" w:hAnsi="Times New Roman" w:cs="Times New Roman"/>
          </w:rPr>
          <w:t>Wykres 4: Łączna liczba ludności w OF w latach 2015–2019</w:t>
        </w:r>
        <w:r w:rsidR="00887D84">
          <w:rPr>
            <w:webHidden/>
          </w:rPr>
          <w:fldChar w:fldCharType="begin"/>
        </w:r>
        <w:r w:rsidR="00887D84">
          <w:rPr>
            <w:webHidden/>
          </w:rPr>
          <w:instrText>PAGEREF _Toc75899469 \h</w:instrText>
        </w:r>
        <w:r w:rsidR="00887D84">
          <w:rPr>
            <w:webHidden/>
          </w:rPr>
        </w:r>
        <w:r w:rsidR="00887D84">
          <w:rPr>
            <w:webHidden/>
          </w:rPr>
          <w:fldChar w:fldCharType="separate"/>
        </w:r>
        <w:r w:rsidR="00887D84">
          <w:rPr>
            <w:rStyle w:val="czeindeksu"/>
            <w:rFonts w:ascii="Times New Roman" w:hAnsi="Times New Roman" w:cs="Times New Roman"/>
          </w:rPr>
          <w:tab/>
          <w:t>7</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70">
        <w:r w:rsidR="00887D84">
          <w:rPr>
            <w:rStyle w:val="czeindeksu"/>
            <w:rFonts w:ascii="Times New Roman" w:hAnsi="Times New Roman" w:cs="Times New Roman"/>
          </w:rPr>
          <w:t>Wykres 5: Średnia gęstość zaludnienia na terenie OF – ludność na 1 km2</w:t>
        </w:r>
        <w:r w:rsidR="00887D84">
          <w:rPr>
            <w:webHidden/>
          </w:rPr>
          <w:fldChar w:fldCharType="begin"/>
        </w:r>
        <w:r w:rsidR="00887D84">
          <w:rPr>
            <w:webHidden/>
          </w:rPr>
          <w:instrText>PAGEREF _Toc75899470 \h</w:instrText>
        </w:r>
        <w:r w:rsidR="00887D84">
          <w:rPr>
            <w:webHidden/>
          </w:rPr>
        </w:r>
        <w:r w:rsidR="00887D84">
          <w:rPr>
            <w:webHidden/>
          </w:rPr>
          <w:fldChar w:fldCharType="separate"/>
        </w:r>
        <w:r w:rsidR="00887D84">
          <w:rPr>
            <w:rStyle w:val="czeindeksu"/>
            <w:rFonts w:ascii="Times New Roman" w:hAnsi="Times New Roman" w:cs="Times New Roman"/>
          </w:rPr>
          <w:tab/>
          <w:t>8</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71">
        <w:r w:rsidR="00887D84">
          <w:rPr>
            <w:rStyle w:val="czeindeksu"/>
            <w:rFonts w:ascii="Times New Roman" w:hAnsi="Times New Roman" w:cs="Times New Roman"/>
          </w:rPr>
          <w:t>Wykres 6: Średni przyrost naturalny oraz urodzenia żywe i zgony na 1 000 ludności na obszarze OF w latach 2015–2019</w:t>
        </w:r>
        <w:r w:rsidR="00887D84">
          <w:rPr>
            <w:webHidden/>
          </w:rPr>
          <w:fldChar w:fldCharType="begin"/>
        </w:r>
        <w:r w:rsidR="00887D84">
          <w:rPr>
            <w:webHidden/>
          </w:rPr>
          <w:instrText>PAGEREF _Toc75899471 \h</w:instrText>
        </w:r>
        <w:r w:rsidR="00887D84">
          <w:rPr>
            <w:webHidden/>
          </w:rPr>
        </w:r>
        <w:r w:rsidR="00887D84">
          <w:rPr>
            <w:webHidden/>
          </w:rPr>
          <w:fldChar w:fldCharType="separate"/>
        </w:r>
        <w:r w:rsidR="00887D84">
          <w:rPr>
            <w:rStyle w:val="czeindeksu"/>
            <w:rFonts w:ascii="Times New Roman" w:hAnsi="Times New Roman" w:cs="Times New Roman"/>
          </w:rPr>
          <w:tab/>
          <w:t>8</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72">
        <w:r w:rsidR="00887D84">
          <w:rPr>
            <w:rStyle w:val="czeindeksu"/>
            <w:rFonts w:ascii="Times New Roman" w:hAnsi="Times New Roman" w:cs="Times New Roman"/>
          </w:rPr>
          <w:t>Wykres 7: Przyrost naturalny na 1 000 ludności w poszczególnych JST OF w latach 2015–2019</w:t>
        </w:r>
        <w:r w:rsidR="00887D84">
          <w:rPr>
            <w:webHidden/>
          </w:rPr>
          <w:fldChar w:fldCharType="begin"/>
        </w:r>
        <w:r w:rsidR="00887D84">
          <w:rPr>
            <w:webHidden/>
          </w:rPr>
          <w:instrText>PAGEREF _Toc75899472 \h</w:instrText>
        </w:r>
        <w:r w:rsidR="00887D84">
          <w:rPr>
            <w:webHidden/>
          </w:rPr>
        </w:r>
        <w:r w:rsidR="00887D84">
          <w:rPr>
            <w:webHidden/>
          </w:rPr>
          <w:fldChar w:fldCharType="separate"/>
        </w:r>
        <w:r w:rsidR="00887D84">
          <w:rPr>
            <w:rStyle w:val="czeindeksu"/>
            <w:rFonts w:ascii="Times New Roman" w:hAnsi="Times New Roman" w:cs="Times New Roman"/>
          </w:rPr>
          <w:tab/>
          <w:t>9</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73">
        <w:r w:rsidR="00887D84">
          <w:rPr>
            <w:rStyle w:val="czeindeksu"/>
            <w:rFonts w:ascii="Times New Roman" w:hAnsi="Times New Roman" w:cs="Times New Roman"/>
          </w:rPr>
          <w:t>Wykres 8: Urodzenia żywe i zgony na 1 000 ludności w poszczególnych JST OF w latach 2015–2019</w:t>
        </w:r>
        <w:r w:rsidR="00887D84">
          <w:rPr>
            <w:webHidden/>
          </w:rPr>
          <w:fldChar w:fldCharType="begin"/>
        </w:r>
        <w:r w:rsidR="00887D84">
          <w:rPr>
            <w:webHidden/>
          </w:rPr>
          <w:instrText>PAGEREF _Toc75899473 \h</w:instrText>
        </w:r>
        <w:r w:rsidR="00887D84">
          <w:rPr>
            <w:webHidden/>
          </w:rPr>
        </w:r>
        <w:r w:rsidR="00887D84">
          <w:rPr>
            <w:webHidden/>
          </w:rPr>
          <w:fldChar w:fldCharType="separate"/>
        </w:r>
        <w:r w:rsidR="00887D84">
          <w:rPr>
            <w:rStyle w:val="czeindeksu"/>
            <w:rFonts w:ascii="Times New Roman" w:hAnsi="Times New Roman" w:cs="Times New Roman"/>
          </w:rPr>
          <w:tab/>
          <w:t>9</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74">
        <w:r w:rsidR="00887D84">
          <w:rPr>
            <w:rStyle w:val="czeindeksu"/>
            <w:rFonts w:ascii="Times New Roman" w:hAnsi="Times New Roman" w:cs="Times New Roman"/>
          </w:rPr>
          <w:t>Wykres 9: Średnia liczba małżeństw na 1 000 ludności na obszarze OF w latach 2015–2019</w:t>
        </w:r>
        <w:r w:rsidR="00887D84">
          <w:rPr>
            <w:webHidden/>
          </w:rPr>
          <w:fldChar w:fldCharType="begin"/>
        </w:r>
        <w:r w:rsidR="00887D84">
          <w:rPr>
            <w:webHidden/>
          </w:rPr>
          <w:instrText>PAGEREF _Toc75899474 \h</w:instrText>
        </w:r>
        <w:r w:rsidR="00887D84">
          <w:rPr>
            <w:webHidden/>
          </w:rPr>
        </w:r>
        <w:r w:rsidR="00887D84">
          <w:rPr>
            <w:webHidden/>
          </w:rPr>
          <w:fldChar w:fldCharType="separate"/>
        </w:r>
        <w:r w:rsidR="00887D84">
          <w:rPr>
            <w:rStyle w:val="czeindeksu"/>
            <w:rFonts w:ascii="Times New Roman" w:hAnsi="Times New Roman" w:cs="Times New Roman"/>
          </w:rPr>
          <w:tab/>
          <w:t>10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75">
        <w:r w:rsidR="00887D84">
          <w:rPr>
            <w:rStyle w:val="czeindeksu"/>
            <w:rFonts w:ascii="Times New Roman" w:hAnsi="Times New Roman" w:cs="Times New Roman"/>
          </w:rPr>
          <w:t>Wykres 10: Ludność wg grup wieku na obszarze OF w latach 2015–2019</w:t>
        </w:r>
        <w:r w:rsidR="00887D84">
          <w:rPr>
            <w:webHidden/>
          </w:rPr>
          <w:fldChar w:fldCharType="begin"/>
        </w:r>
        <w:r w:rsidR="00887D84">
          <w:rPr>
            <w:webHidden/>
          </w:rPr>
          <w:instrText>PAGEREF _Toc75899475 \h</w:instrText>
        </w:r>
        <w:r w:rsidR="00887D84">
          <w:rPr>
            <w:webHidden/>
          </w:rPr>
        </w:r>
        <w:r w:rsidR="00887D84">
          <w:rPr>
            <w:webHidden/>
          </w:rPr>
          <w:fldChar w:fldCharType="separate"/>
        </w:r>
        <w:r w:rsidR="00887D84">
          <w:rPr>
            <w:rStyle w:val="czeindeksu"/>
            <w:rFonts w:ascii="Times New Roman" w:hAnsi="Times New Roman" w:cs="Times New Roman"/>
          </w:rPr>
          <w:tab/>
          <w:t>11</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76">
        <w:r w:rsidR="00887D84">
          <w:rPr>
            <w:rStyle w:val="czeindeksu"/>
            <w:rFonts w:ascii="Times New Roman" w:hAnsi="Times New Roman" w:cs="Times New Roman"/>
          </w:rPr>
          <w:t>Wykres 11: Struktura demograficzna ludności wg ekonomicznych grup wieku na obszarze OF w latach 2015–2019 (w %)</w:t>
        </w:r>
        <w:r w:rsidR="00887D84">
          <w:rPr>
            <w:webHidden/>
          </w:rPr>
          <w:fldChar w:fldCharType="begin"/>
        </w:r>
        <w:r w:rsidR="00887D84">
          <w:rPr>
            <w:webHidden/>
          </w:rPr>
          <w:instrText>PAGEREF _Toc75899476 \h</w:instrText>
        </w:r>
        <w:r w:rsidR="00887D84">
          <w:rPr>
            <w:webHidden/>
          </w:rPr>
        </w:r>
        <w:r w:rsidR="00887D84">
          <w:rPr>
            <w:webHidden/>
          </w:rPr>
          <w:fldChar w:fldCharType="separate"/>
        </w:r>
        <w:r w:rsidR="00887D84">
          <w:rPr>
            <w:rStyle w:val="czeindeksu"/>
            <w:rFonts w:ascii="Times New Roman" w:hAnsi="Times New Roman" w:cs="Times New Roman"/>
          </w:rPr>
          <w:tab/>
          <w:t>14</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77">
        <w:r w:rsidR="00887D84">
          <w:rPr>
            <w:rStyle w:val="czeindeksu"/>
            <w:rFonts w:ascii="Times New Roman" w:hAnsi="Times New Roman" w:cs="Times New Roman"/>
          </w:rPr>
          <w:t>Wykres 12: Struktura demograficzna ludności wg ekonomicznych grup wieku w poszczególnych JST OF w 2019 r. (w %)</w:t>
        </w:r>
        <w:r w:rsidR="00887D84">
          <w:rPr>
            <w:webHidden/>
          </w:rPr>
          <w:fldChar w:fldCharType="begin"/>
        </w:r>
        <w:r w:rsidR="00887D84">
          <w:rPr>
            <w:webHidden/>
          </w:rPr>
          <w:instrText>PAGEREF _Toc75899477 \h</w:instrText>
        </w:r>
        <w:r w:rsidR="00887D84">
          <w:rPr>
            <w:webHidden/>
          </w:rPr>
        </w:r>
        <w:r w:rsidR="00887D84">
          <w:rPr>
            <w:webHidden/>
          </w:rPr>
          <w:fldChar w:fldCharType="separate"/>
        </w:r>
        <w:r w:rsidR="00887D84">
          <w:rPr>
            <w:rStyle w:val="czeindeksu"/>
            <w:rFonts w:ascii="Times New Roman" w:hAnsi="Times New Roman" w:cs="Times New Roman"/>
          </w:rPr>
          <w:tab/>
          <w:t>14</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78">
        <w:r w:rsidR="00887D84">
          <w:rPr>
            <w:rStyle w:val="czeindeksu"/>
            <w:rFonts w:ascii="Times New Roman" w:hAnsi="Times New Roman" w:cs="Times New Roman"/>
          </w:rPr>
          <w:t>Wykres 13: Ludność w wieku poprodukcyjnym (w % ludności ogółem) na obszarze OF w latach 2015–2019</w:t>
        </w:r>
        <w:r w:rsidR="00887D84">
          <w:rPr>
            <w:webHidden/>
          </w:rPr>
          <w:fldChar w:fldCharType="begin"/>
        </w:r>
        <w:r w:rsidR="00887D84">
          <w:rPr>
            <w:webHidden/>
          </w:rPr>
          <w:instrText>PAGEREF _Toc75899478 \h</w:instrText>
        </w:r>
        <w:r w:rsidR="00887D84">
          <w:rPr>
            <w:webHidden/>
          </w:rPr>
        </w:r>
        <w:r w:rsidR="00887D84">
          <w:rPr>
            <w:webHidden/>
          </w:rPr>
          <w:fldChar w:fldCharType="separate"/>
        </w:r>
        <w:r w:rsidR="00887D84">
          <w:rPr>
            <w:rStyle w:val="czeindeksu"/>
            <w:rFonts w:ascii="Times New Roman" w:hAnsi="Times New Roman" w:cs="Times New Roman"/>
          </w:rPr>
          <w:tab/>
          <w:t>15</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79">
        <w:r w:rsidR="00887D84">
          <w:rPr>
            <w:rStyle w:val="czeindeksu"/>
            <w:rFonts w:ascii="Times New Roman" w:hAnsi="Times New Roman" w:cs="Times New Roman"/>
          </w:rPr>
          <w:t>Wykres 14: Ludność w wieku poprodukcyjnym (w % ludności ogółem) w poszczególnych JST OF w latach 2015–2019</w:t>
        </w:r>
        <w:r w:rsidR="00887D84">
          <w:rPr>
            <w:webHidden/>
          </w:rPr>
          <w:fldChar w:fldCharType="begin"/>
        </w:r>
        <w:r w:rsidR="00887D84">
          <w:rPr>
            <w:webHidden/>
          </w:rPr>
          <w:instrText>PAGEREF _Toc75899479 \h</w:instrText>
        </w:r>
        <w:r w:rsidR="00887D84">
          <w:rPr>
            <w:webHidden/>
          </w:rPr>
        </w:r>
        <w:r w:rsidR="00887D84">
          <w:rPr>
            <w:webHidden/>
          </w:rPr>
          <w:fldChar w:fldCharType="separate"/>
        </w:r>
        <w:r w:rsidR="00887D84">
          <w:rPr>
            <w:rStyle w:val="czeindeksu"/>
            <w:rFonts w:ascii="Times New Roman" w:hAnsi="Times New Roman" w:cs="Times New Roman"/>
          </w:rPr>
          <w:tab/>
          <w:t>15</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80">
        <w:r w:rsidR="00887D84">
          <w:rPr>
            <w:rStyle w:val="czeindeksu"/>
            <w:rFonts w:ascii="Times New Roman" w:hAnsi="Times New Roman" w:cs="Times New Roman"/>
          </w:rPr>
          <w:t>Wykres 15: Wskaźnik obciążenia demograficznego – ludność w wieku poprodukcyjnym na 100 osób w wieku produkcyjnym na terenie OF w latach 2015–2019</w:t>
        </w:r>
        <w:r w:rsidR="00887D84">
          <w:rPr>
            <w:webHidden/>
          </w:rPr>
          <w:fldChar w:fldCharType="begin"/>
        </w:r>
        <w:r w:rsidR="00887D84">
          <w:rPr>
            <w:webHidden/>
          </w:rPr>
          <w:instrText>PAGEREF _Toc75899480 \h</w:instrText>
        </w:r>
        <w:r w:rsidR="00887D84">
          <w:rPr>
            <w:webHidden/>
          </w:rPr>
        </w:r>
        <w:r w:rsidR="00887D84">
          <w:rPr>
            <w:webHidden/>
          </w:rPr>
          <w:fldChar w:fldCharType="separate"/>
        </w:r>
        <w:r w:rsidR="00887D84">
          <w:rPr>
            <w:rStyle w:val="czeindeksu"/>
            <w:rFonts w:ascii="Times New Roman" w:hAnsi="Times New Roman" w:cs="Times New Roman"/>
          </w:rPr>
          <w:tab/>
          <w:t>16</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81">
        <w:r w:rsidR="00887D84">
          <w:rPr>
            <w:rStyle w:val="czeindeksu"/>
            <w:rFonts w:ascii="Times New Roman" w:hAnsi="Times New Roman" w:cs="Times New Roman"/>
          </w:rPr>
          <w:t>Wykres 16: Wskaźnik obciążenia demograficznego – ludność w wieku poprodukcyjnym na 100 osób w wieku produkcyjnym w poszczególnych JST OF w latach 2015–2019</w:t>
        </w:r>
        <w:r w:rsidR="00887D84">
          <w:rPr>
            <w:webHidden/>
          </w:rPr>
          <w:fldChar w:fldCharType="begin"/>
        </w:r>
        <w:r w:rsidR="00887D84">
          <w:rPr>
            <w:webHidden/>
          </w:rPr>
          <w:instrText>PAGEREF _Toc75899481 \h</w:instrText>
        </w:r>
        <w:r w:rsidR="00887D84">
          <w:rPr>
            <w:webHidden/>
          </w:rPr>
        </w:r>
        <w:r w:rsidR="00887D84">
          <w:rPr>
            <w:webHidden/>
          </w:rPr>
          <w:fldChar w:fldCharType="separate"/>
        </w:r>
        <w:r w:rsidR="00887D84">
          <w:rPr>
            <w:rStyle w:val="czeindeksu"/>
            <w:rFonts w:ascii="Times New Roman" w:hAnsi="Times New Roman" w:cs="Times New Roman"/>
          </w:rPr>
          <w:tab/>
          <w:t>16</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82">
        <w:r w:rsidR="00887D84">
          <w:rPr>
            <w:rStyle w:val="czeindeksu"/>
            <w:rFonts w:ascii="Times New Roman" w:hAnsi="Times New Roman" w:cs="Times New Roman"/>
          </w:rPr>
          <w:t>Wykres 17: Saldo migracji na obszarze OF w latach 2016–2019</w:t>
        </w:r>
        <w:r w:rsidR="00887D84">
          <w:rPr>
            <w:webHidden/>
          </w:rPr>
          <w:fldChar w:fldCharType="begin"/>
        </w:r>
        <w:r w:rsidR="00887D84">
          <w:rPr>
            <w:webHidden/>
          </w:rPr>
          <w:instrText>PAGEREF _Toc75899482 \h</w:instrText>
        </w:r>
        <w:r w:rsidR="00887D84">
          <w:rPr>
            <w:webHidden/>
          </w:rPr>
        </w:r>
        <w:r w:rsidR="00887D84">
          <w:rPr>
            <w:webHidden/>
          </w:rPr>
          <w:fldChar w:fldCharType="separate"/>
        </w:r>
        <w:r w:rsidR="00887D84">
          <w:rPr>
            <w:rStyle w:val="czeindeksu"/>
            <w:rFonts w:ascii="Times New Roman" w:hAnsi="Times New Roman" w:cs="Times New Roman"/>
          </w:rPr>
          <w:tab/>
          <w:t>17</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83">
        <w:r w:rsidR="00887D84">
          <w:rPr>
            <w:rStyle w:val="czeindeksu"/>
            <w:rFonts w:ascii="Times New Roman" w:hAnsi="Times New Roman" w:cs="Times New Roman"/>
          </w:rPr>
          <w:t>Wykres 18: Saldo migracji w poszczególnych JST OF w latach 2016–2019</w:t>
        </w:r>
        <w:r w:rsidR="00887D84">
          <w:rPr>
            <w:webHidden/>
          </w:rPr>
          <w:fldChar w:fldCharType="begin"/>
        </w:r>
        <w:r w:rsidR="00887D84">
          <w:rPr>
            <w:webHidden/>
          </w:rPr>
          <w:instrText>PAGEREF _Toc75899483 \h</w:instrText>
        </w:r>
        <w:r w:rsidR="00887D84">
          <w:rPr>
            <w:webHidden/>
          </w:rPr>
        </w:r>
        <w:r w:rsidR="00887D84">
          <w:rPr>
            <w:webHidden/>
          </w:rPr>
          <w:fldChar w:fldCharType="separate"/>
        </w:r>
        <w:r w:rsidR="00887D84">
          <w:rPr>
            <w:rStyle w:val="czeindeksu"/>
            <w:rFonts w:ascii="Times New Roman" w:hAnsi="Times New Roman" w:cs="Times New Roman"/>
          </w:rPr>
          <w:tab/>
          <w:t>17</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84">
        <w:r w:rsidR="00887D84">
          <w:rPr>
            <w:rStyle w:val="czeindeksu"/>
            <w:rFonts w:ascii="Times New Roman" w:hAnsi="Times New Roman" w:cs="Times New Roman"/>
          </w:rPr>
          <w:t>Wykres 19: Struktura pracujących wg płci na obszarze OF w latach 2015-2019</w:t>
        </w:r>
        <w:r w:rsidR="00887D84">
          <w:rPr>
            <w:webHidden/>
          </w:rPr>
          <w:fldChar w:fldCharType="begin"/>
        </w:r>
        <w:r w:rsidR="00887D84">
          <w:rPr>
            <w:webHidden/>
          </w:rPr>
          <w:instrText>PAGEREF _Toc75899484 \h</w:instrText>
        </w:r>
        <w:r w:rsidR="00887D84">
          <w:rPr>
            <w:webHidden/>
          </w:rPr>
        </w:r>
        <w:r w:rsidR="00887D84">
          <w:rPr>
            <w:webHidden/>
          </w:rPr>
          <w:fldChar w:fldCharType="separate"/>
        </w:r>
        <w:r w:rsidR="00887D84">
          <w:rPr>
            <w:rStyle w:val="czeindeksu"/>
            <w:rFonts w:ascii="Times New Roman" w:hAnsi="Times New Roman" w:cs="Times New Roman"/>
          </w:rPr>
          <w:tab/>
          <w:t>18</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85">
        <w:r w:rsidR="00887D84">
          <w:rPr>
            <w:rStyle w:val="czeindeksu"/>
            <w:rFonts w:ascii="Times New Roman" w:hAnsi="Times New Roman" w:cs="Times New Roman"/>
          </w:rPr>
          <w:t>Wykres 20: Liczba pracujących ogółem w poszczególnych JST OF w latach 2015–2019</w:t>
        </w:r>
        <w:r w:rsidR="00887D84">
          <w:rPr>
            <w:webHidden/>
          </w:rPr>
          <w:fldChar w:fldCharType="begin"/>
        </w:r>
        <w:r w:rsidR="00887D84">
          <w:rPr>
            <w:webHidden/>
          </w:rPr>
          <w:instrText>PAGEREF _Toc75899485 \h</w:instrText>
        </w:r>
        <w:r w:rsidR="00887D84">
          <w:rPr>
            <w:webHidden/>
          </w:rPr>
        </w:r>
        <w:r w:rsidR="00887D84">
          <w:rPr>
            <w:webHidden/>
          </w:rPr>
          <w:fldChar w:fldCharType="separate"/>
        </w:r>
        <w:r w:rsidR="00887D84">
          <w:rPr>
            <w:rStyle w:val="czeindeksu"/>
            <w:rFonts w:ascii="Times New Roman" w:hAnsi="Times New Roman" w:cs="Times New Roman"/>
          </w:rPr>
          <w:tab/>
          <w:t>18</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86">
        <w:r w:rsidR="00887D84">
          <w:rPr>
            <w:rStyle w:val="czeindeksu"/>
            <w:rFonts w:ascii="Times New Roman" w:hAnsi="Times New Roman" w:cs="Times New Roman"/>
          </w:rPr>
          <w:t>Wykres 21: Struktura pracujących wg płci w poszczególnych JST OF w latach 2015–2019</w:t>
        </w:r>
        <w:r w:rsidR="00887D84">
          <w:rPr>
            <w:webHidden/>
          </w:rPr>
          <w:fldChar w:fldCharType="begin"/>
        </w:r>
        <w:r w:rsidR="00887D84">
          <w:rPr>
            <w:webHidden/>
          </w:rPr>
          <w:instrText>PAGEREF _Toc75899486 \h</w:instrText>
        </w:r>
        <w:r w:rsidR="00887D84">
          <w:rPr>
            <w:webHidden/>
          </w:rPr>
        </w:r>
        <w:r w:rsidR="00887D84">
          <w:rPr>
            <w:webHidden/>
          </w:rPr>
          <w:fldChar w:fldCharType="separate"/>
        </w:r>
        <w:r w:rsidR="00887D84">
          <w:rPr>
            <w:rStyle w:val="czeindeksu"/>
            <w:rFonts w:ascii="Times New Roman" w:hAnsi="Times New Roman" w:cs="Times New Roman"/>
          </w:rPr>
          <w:tab/>
          <w:t>19</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87">
        <w:r w:rsidR="00887D84">
          <w:rPr>
            <w:rStyle w:val="czeindeksu"/>
            <w:rFonts w:ascii="Times New Roman" w:hAnsi="Times New Roman" w:cs="Times New Roman"/>
          </w:rPr>
          <w:t>Wykres 22: Struktura zarejestrowanych bezrobotnych wg płci na obszarze OF w latach 2015–2019</w:t>
        </w:r>
        <w:r w:rsidR="00887D84">
          <w:rPr>
            <w:webHidden/>
          </w:rPr>
          <w:fldChar w:fldCharType="begin"/>
        </w:r>
        <w:r w:rsidR="00887D84">
          <w:rPr>
            <w:webHidden/>
          </w:rPr>
          <w:instrText>PAGEREF _Toc75899487 \h</w:instrText>
        </w:r>
        <w:r w:rsidR="00887D84">
          <w:rPr>
            <w:webHidden/>
          </w:rPr>
        </w:r>
        <w:r w:rsidR="00887D84">
          <w:rPr>
            <w:webHidden/>
          </w:rPr>
          <w:fldChar w:fldCharType="separate"/>
        </w:r>
        <w:r w:rsidR="00887D84">
          <w:rPr>
            <w:rStyle w:val="czeindeksu"/>
            <w:rFonts w:ascii="Times New Roman" w:hAnsi="Times New Roman" w:cs="Times New Roman"/>
          </w:rPr>
          <w:tab/>
          <w:t>19</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88">
        <w:r w:rsidR="00887D84">
          <w:rPr>
            <w:rStyle w:val="czeindeksu"/>
            <w:rFonts w:ascii="Times New Roman" w:hAnsi="Times New Roman" w:cs="Times New Roman"/>
          </w:rPr>
          <w:t>Wykres 23: Liczba zarejestrowanych bezrobotnych ogółem w poszczególnych JST OF w latach 2015–2019</w:t>
        </w:r>
        <w:r w:rsidR="00887D84">
          <w:rPr>
            <w:webHidden/>
          </w:rPr>
          <w:fldChar w:fldCharType="begin"/>
        </w:r>
        <w:r w:rsidR="00887D84">
          <w:rPr>
            <w:webHidden/>
          </w:rPr>
          <w:instrText>PAGEREF _Toc75899488 \h</w:instrText>
        </w:r>
        <w:r w:rsidR="00887D84">
          <w:rPr>
            <w:webHidden/>
          </w:rPr>
        </w:r>
        <w:r w:rsidR="00887D84">
          <w:rPr>
            <w:webHidden/>
          </w:rPr>
          <w:fldChar w:fldCharType="separate"/>
        </w:r>
        <w:r w:rsidR="00887D84">
          <w:rPr>
            <w:rStyle w:val="czeindeksu"/>
            <w:rFonts w:ascii="Times New Roman" w:hAnsi="Times New Roman" w:cs="Times New Roman"/>
          </w:rPr>
          <w:tab/>
          <w:t>20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89">
        <w:r w:rsidR="00887D84">
          <w:rPr>
            <w:rStyle w:val="czeindeksu"/>
            <w:rFonts w:ascii="Times New Roman" w:hAnsi="Times New Roman" w:cs="Times New Roman"/>
          </w:rPr>
          <w:t>Wykres 24: Średnia frekwencja w wyborach w latach 2015–2019 na terenie OF, w porównaniu z powiatem łęczyńskim i włodawskim oraz województwem lubelskim</w:t>
        </w:r>
        <w:r w:rsidR="00887D84">
          <w:rPr>
            <w:webHidden/>
          </w:rPr>
          <w:fldChar w:fldCharType="begin"/>
        </w:r>
        <w:r w:rsidR="00887D84">
          <w:rPr>
            <w:webHidden/>
          </w:rPr>
          <w:instrText>PAGEREF _Toc75899489 \h</w:instrText>
        </w:r>
        <w:r w:rsidR="00887D84">
          <w:rPr>
            <w:webHidden/>
          </w:rPr>
        </w:r>
        <w:r w:rsidR="00887D84">
          <w:rPr>
            <w:webHidden/>
          </w:rPr>
          <w:fldChar w:fldCharType="separate"/>
        </w:r>
        <w:r w:rsidR="00887D84">
          <w:rPr>
            <w:rStyle w:val="czeindeksu"/>
            <w:rFonts w:ascii="Times New Roman" w:hAnsi="Times New Roman" w:cs="Times New Roman"/>
          </w:rPr>
          <w:tab/>
          <w:t>21</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90">
        <w:r w:rsidR="00887D84">
          <w:rPr>
            <w:rStyle w:val="czeindeksu"/>
            <w:rFonts w:ascii="Times New Roman" w:hAnsi="Times New Roman" w:cs="Times New Roman"/>
          </w:rPr>
          <w:t>Wykres 25: Frekwencja w wyborach w latach 2015–2019 na terenie poszczególnych JST wchodzących w skład OF</w:t>
        </w:r>
        <w:r w:rsidR="00887D84">
          <w:rPr>
            <w:webHidden/>
          </w:rPr>
          <w:fldChar w:fldCharType="begin"/>
        </w:r>
        <w:r w:rsidR="00887D84">
          <w:rPr>
            <w:webHidden/>
          </w:rPr>
          <w:instrText>PAGEREF _Toc75899490 \h</w:instrText>
        </w:r>
        <w:r w:rsidR="00887D84">
          <w:rPr>
            <w:webHidden/>
          </w:rPr>
        </w:r>
        <w:r w:rsidR="00887D84">
          <w:rPr>
            <w:webHidden/>
          </w:rPr>
          <w:fldChar w:fldCharType="separate"/>
        </w:r>
        <w:r w:rsidR="00887D84">
          <w:rPr>
            <w:rStyle w:val="czeindeksu"/>
            <w:rFonts w:ascii="Times New Roman" w:hAnsi="Times New Roman" w:cs="Times New Roman"/>
          </w:rPr>
          <w:tab/>
          <w:t>21</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91">
        <w:r w:rsidR="00887D84">
          <w:rPr>
            <w:rStyle w:val="czeindeksu"/>
            <w:rFonts w:ascii="Times New Roman" w:hAnsi="Times New Roman" w:cs="Times New Roman"/>
          </w:rPr>
          <w:t>Wykres 26: Fundacje, stowarzyszenia i organizacje społeczne na obszarze OF w latach 2015–2019</w:t>
        </w:r>
        <w:r w:rsidR="00887D84">
          <w:rPr>
            <w:webHidden/>
          </w:rPr>
          <w:fldChar w:fldCharType="begin"/>
        </w:r>
        <w:r w:rsidR="00887D84">
          <w:rPr>
            <w:webHidden/>
          </w:rPr>
          <w:instrText>PAGEREF _Toc75899491 \h</w:instrText>
        </w:r>
        <w:r w:rsidR="00887D84">
          <w:rPr>
            <w:webHidden/>
          </w:rPr>
        </w:r>
        <w:r w:rsidR="00887D84">
          <w:rPr>
            <w:webHidden/>
          </w:rPr>
          <w:fldChar w:fldCharType="separate"/>
        </w:r>
        <w:r w:rsidR="00887D84">
          <w:rPr>
            <w:rStyle w:val="czeindeksu"/>
            <w:rFonts w:ascii="Times New Roman" w:hAnsi="Times New Roman" w:cs="Times New Roman"/>
          </w:rPr>
          <w:tab/>
          <w:t>22</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92">
        <w:r w:rsidR="00887D84">
          <w:rPr>
            <w:rStyle w:val="czeindeksu"/>
            <w:rFonts w:ascii="Times New Roman" w:hAnsi="Times New Roman" w:cs="Times New Roman"/>
          </w:rPr>
          <w:t>Wykres 27: Liczba organizacji pozarządowych zarejestrowanych w poszczególnych JST OF w latach 2015–2019</w:t>
        </w:r>
        <w:r w:rsidR="00887D84">
          <w:rPr>
            <w:webHidden/>
          </w:rPr>
          <w:fldChar w:fldCharType="begin"/>
        </w:r>
        <w:r w:rsidR="00887D84">
          <w:rPr>
            <w:webHidden/>
          </w:rPr>
          <w:instrText>PAGEREF _Toc75899492 \h</w:instrText>
        </w:r>
        <w:r w:rsidR="00887D84">
          <w:rPr>
            <w:webHidden/>
          </w:rPr>
        </w:r>
        <w:r w:rsidR="00887D84">
          <w:rPr>
            <w:webHidden/>
          </w:rPr>
          <w:fldChar w:fldCharType="separate"/>
        </w:r>
        <w:r w:rsidR="00887D84">
          <w:rPr>
            <w:rStyle w:val="czeindeksu"/>
            <w:rFonts w:ascii="Times New Roman" w:hAnsi="Times New Roman" w:cs="Times New Roman"/>
          </w:rPr>
          <w:tab/>
          <w:t>22</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93">
        <w:r w:rsidR="00887D84">
          <w:rPr>
            <w:rStyle w:val="czeindeksu"/>
            <w:rFonts w:ascii="Times New Roman" w:hAnsi="Times New Roman" w:cs="Times New Roman"/>
          </w:rPr>
          <w:t>Wykres 28: Fundacje, stowarzyszenia i organizacje społeczne na 1 000 mieszkańców na terenie OF w porównaniu z powiatem łęczyńskim i włodawskim oraz województwem lubelskim w latach 2015–2019</w:t>
        </w:r>
        <w:r w:rsidR="00887D84">
          <w:rPr>
            <w:webHidden/>
          </w:rPr>
          <w:fldChar w:fldCharType="begin"/>
        </w:r>
        <w:r w:rsidR="00887D84">
          <w:rPr>
            <w:webHidden/>
          </w:rPr>
          <w:instrText>PAGEREF _Toc75899493 \h</w:instrText>
        </w:r>
        <w:r w:rsidR="00887D84">
          <w:rPr>
            <w:webHidden/>
          </w:rPr>
        </w:r>
        <w:r w:rsidR="00887D84">
          <w:rPr>
            <w:webHidden/>
          </w:rPr>
          <w:fldChar w:fldCharType="separate"/>
        </w:r>
        <w:r w:rsidR="00887D84">
          <w:rPr>
            <w:rStyle w:val="czeindeksu"/>
            <w:rFonts w:ascii="Times New Roman" w:hAnsi="Times New Roman" w:cs="Times New Roman"/>
          </w:rPr>
          <w:tab/>
          <w:t>23</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94">
        <w:r w:rsidR="00887D84">
          <w:rPr>
            <w:rStyle w:val="czeindeksu"/>
            <w:rFonts w:ascii="Times New Roman" w:hAnsi="Times New Roman" w:cs="Times New Roman"/>
          </w:rPr>
          <w:t>Wykres 29: Łączna liczba uczniów w przedszkolach, oddziałach przedszkolnych oraz punktach przedszkolnych na terenie OF</w:t>
        </w:r>
        <w:r w:rsidR="00887D84">
          <w:rPr>
            <w:webHidden/>
          </w:rPr>
          <w:fldChar w:fldCharType="begin"/>
        </w:r>
        <w:r w:rsidR="00887D84">
          <w:rPr>
            <w:webHidden/>
          </w:rPr>
          <w:instrText>PAGEREF _Toc75899494 \h</w:instrText>
        </w:r>
        <w:r w:rsidR="00887D84">
          <w:rPr>
            <w:webHidden/>
          </w:rPr>
        </w:r>
        <w:r w:rsidR="00887D84">
          <w:rPr>
            <w:webHidden/>
          </w:rPr>
          <w:fldChar w:fldCharType="separate"/>
        </w:r>
        <w:r w:rsidR="00887D84">
          <w:rPr>
            <w:rStyle w:val="czeindeksu"/>
            <w:rFonts w:ascii="Times New Roman" w:hAnsi="Times New Roman" w:cs="Times New Roman"/>
          </w:rPr>
          <w:tab/>
          <w:t>27</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95">
        <w:r w:rsidR="00887D84">
          <w:rPr>
            <w:rStyle w:val="czeindeksu"/>
            <w:rFonts w:ascii="Times New Roman" w:hAnsi="Times New Roman" w:cs="Times New Roman"/>
          </w:rPr>
          <w:t>Wykres 30: Łączna liczba uczniów w szkołach podstawowych na terenie OF</w:t>
        </w:r>
        <w:r w:rsidR="00887D84">
          <w:rPr>
            <w:webHidden/>
          </w:rPr>
          <w:fldChar w:fldCharType="begin"/>
        </w:r>
        <w:r w:rsidR="00887D84">
          <w:rPr>
            <w:webHidden/>
          </w:rPr>
          <w:instrText>PAGEREF _Toc75899495 \h</w:instrText>
        </w:r>
        <w:r w:rsidR="00887D84">
          <w:rPr>
            <w:webHidden/>
          </w:rPr>
        </w:r>
        <w:r w:rsidR="00887D84">
          <w:rPr>
            <w:webHidden/>
          </w:rPr>
          <w:fldChar w:fldCharType="separate"/>
        </w:r>
        <w:r w:rsidR="00887D84">
          <w:rPr>
            <w:rStyle w:val="czeindeksu"/>
            <w:rFonts w:ascii="Times New Roman" w:hAnsi="Times New Roman" w:cs="Times New Roman"/>
          </w:rPr>
          <w:tab/>
          <w:t>27</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96">
        <w:r w:rsidR="00887D84">
          <w:rPr>
            <w:rStyle w:val="czeindeksu"/>
            <w:rFonts w:ascii="Times New Roman" w:hAnsi="Times New Roman" w:cs="Times New Roman"/>
          </w:rPr>
          <w:t>Wykres 31: Zasoby mieszkaniowe na obszarze OF w latach 2015-2018</w:t>
        </w:r>
        <w:r w:rsidR="00887D84">
          <w:rPr>
            <w:webHidden/>
          </w:rPr>
          <w:fldChar w:fldCharType="begin"/>
        </w:r>
        <w:r w:rsidR="00887D84">
          <w:rPr>
            <w:webHidden/>
          </w:rPr>
          <w:instrText>PAGEREF _Toc75899496 \h</w:instrText>
        </w:r>
        <w:r w:rsidR="00887D84">
          <w:rPr>
            <w:webHidden/>
          </w:rPr>
        </w:r>
        <w:r w:rsidR="00887D84">
          <w:rPr>
            <w:webHidden/>
          </w:rPr>
          <w:fldChar w:fldCharType="separate"/>
        </w:r>
        <w:r w:rsidR="00887D84">
          <w:rPr>
            <w:rStyle w:val="czeindeksu"/>
            <w:rFonts w:ascii="Times New Roman" w:hAnsi="Times New Roman" w:cs="Times New Roman"/>
          </w:rPr>
          <w:tab/>
          <w:t>29</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97">
        <w:r w:rsidR="00887D84">
          <w:rPr>
            <w:rStyle w:val="czeindeksu"/>
            <w:rFonts w:ascii="Times New Roman" w:hAnsi="Times New Roman" w:cs="Times New Roman"/>
          </w:rPr>
          <w:t>Wykres 32: Zasoby mieszkaniowe w poszczególnych JST OF w latach 2015-2018</w:t>
        </w:r>
        <w:r w:rsidR="00887D84">
          <w:rPr>
            <w:webHidden/>
          </w:rPr>
          <w:fldChar w:fldCharType="begin"/>
        </w:r>
        <w:r w:rsidR="00887D84">
          <w:rPr>
            <w:webHidden/>
          </w:rPr>
          <w:instrText>PAGEREF _Toc75899497 \h</w:instrText>
        </w:r>
        <w:r w:rsidR="00887D84">
          <w:rPr>
            <w:webHidden/>
          </w:rPr>
        </w:r>
        <w:r w:rsidR="00887D84">
          <w:rPr>
            <w:webHidden/>
          </w:rPr>
          <w:fldChar w:fldCharType="separate"/>
        </w:r>
        <w:r w:rsidR="00887D84">
          <w:rPr>
            <w:rStyle w:val="czeindeksu"/>
            <w:rFonts w:ascii="Times New Roman" w:hAnsi="Times New Roman" w:cs="Times New Roman"/>
          </w:rPr>
          <w:tab/>
          <w:t>30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98">
        <w:r w:rsidR="00887D84">
          <w:rPr>
            <w:rStyle w:val="czeindeksu"/>
            <w:rFonts w:ascii="Times New Roman" w:hAnsi="Times New Roman" w:cs="Times New Roman"/>
          </w:rPr>
          <w:t>Wykres 33: Mieszkania na 1000 mieszkańców w poszczególnych JST OF w latach 2015-2018</w:t>
        </w:r>
        <w:r w:rsidR="00887D84">
          <w:rPr>
            <w:webHidden/>
          </w:rPr>
          <w:fldChar w:fldCharType="begin"/>
        </w:r>
        <w:r w:rsidR="00887D84">
          <w:rPr>
            <w:webHidden/>
          </w:rPr>
          <w:instrText>PAGEREF _Toc75899498 \h</w:instrText>
        </w:r>
        <w:r w:rsidR="00887D84">
          <w:rPr>
            <w:webHidden/>
          </w:rPr>
        </w:r>
        <w:r w:rsidR="00887D84">
          <w:rPr>
            <w:webHidden/>
          </w:rPr>
          <w:fldChar w:fldCharType="separate"/>
        </w:r>
        <w:r w:rsidR="00887D84">
          <w:rPr>
            <w:rStyle w:val="czeindeksu"/>
            <w:rFonts w:ascii="Times New Roman" w:hAnsi="Times New Roman" w:cs="Times New Roman"/>
          </w:rPr>
          <w:tab/>
          <w:t>30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499">
        <w:r w:rsidR="00887D84">
          <w:rPr>
            <w:rStyle w:val="czeindeksu"/>
            <w:rFonts w:ascii="Times New Roman" w:hAnsi="Times New Roman" w:cs="Times New Roman"/>
          </w:rPr>
          <w:t>Wykres 34: Liczba i powierzchnia użytkowa mieszkań (m2) oddanych do użytkowania na obszarze OF w latach 2015-2019</w:t>
        </w:r>
        <w:r w:rsidR="00887D84">
          <w:rPr>
            <w:webHidden/>
          </w:rPr>
          <w:fldChar w:fldCharType="begin"/>
        </w:r>
        <w:r w:rsidR="00887D84">
          <w:rPr>
            <w:webHidden/>
          </w:rPr>
          <w:instrText>PAGEREF _Toc75899499 \h</w:instrText>
        </w:r>
        <w:r w:rsidR="00887D84">
          <w:rPr>
            <w:webHidden/>
          </w:rPr>
        </w:r>
        <w:r w:rsidR="00887D84">
          <w:rPr>
            <w:webHidden/>
          </w:rPr>
          <w:fldChar w:fldCharType="separate"/>
        </w:r>
        <w:r w:rsidR="00887D84">
          <w:rPr>
            <w:rStyle w:val="czeindeksu"/>
            <w:rFonts w:ascii="Times New Roman" w:hAnsi="Times New Roman" w:cs="Times New Roman"/>
          </w:rPr>
          <w:tab/>
          <w:t>31</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00">
        <w:r w:rsidR="00887D84">
          <w:rPr>
            <w:rStyle w:val="czeindeksu"/>
            <w:rFonts w:ascii="Times New Roman" w:hAnsi="Times New Roman" w:cs="Times New Roman"/>
          </w:rPr>
          <w:t>Wykres 35: Mieszkania oddane do użytkowania w poszczególnych JST OF w latach 2015-2019</w:t>
        </w:r>
        <w:r w:rsidR="00887D84">
          <w:rPr>
            <w:webHidden/>
          </w:rPr>
          <w:fldChar w:fldCharType="begin"/>
        </w:r>
        <w:r w:rsidR="00887D84">
          <w:rPr>
            <w:webHidden/>
          </w:rPr>
          <w:instrText>PAGEREF _Toc75899500 \h</w:instrText>
        </w:r>
        <w:r w:rsidR="00887D84">
          <w:rPr>
            <w:webHidden/>
          </w:rPr>
        </w:r>
        <w:r w:rsidR="00887D84">
          <w:rPr>
            <w:webHidden/>
          </w:rPr>
          <w:fldChar w:fldCharType="separate"/>
        </w:r>
        <w:r w:rsidR="00887D84">
          <w:rPr>
            <w:rStyle w:val="czeindeksu"/>
            <w:rFonts w:ascii="Times New Roman" w:hAnsi="Times New Roman" w:cs="Times New Roman"/>
          </w:rPr>
          <w:tab/>
          <w:t>31</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01">
        <w:r w:rsidR="00887D84">
          <w:rPr>
            <w:rStyle w:val="czeindeksu"/>
            <w:rFonts w:ascii="Times New Roman" w:hAnsi="Times New Roman" w:cs="Times New Roman"/>
          </w:rPr>
          <w:t>Wykres 36: Średnia długość sieci rozdzielczej na 100 km2 na obszarze OF w latach 2015-2018 (w km)</w:t>
        </w:r>
        <w:r w:rsidR="00887D84">
          <w:rPr>
            <w:webHidden/>
          </w:rPr>
          <w:fldChar w:fldCharType="begin"/>
        </w:r>
        <w:r w:rsidR="00887D84">
          <w:rPr>
            <w:webHidden/>
          </w:rPr>
          <w:instrText>PAGEREF _Toc75899501 \h</w:instrText>
        </w:r>
        <w:r w:rsidR="00887D84">
          <w:rPr>
            <w:webHidden/>
          </w:rPr>
        </w:r>
        <w:r w:rsidR="00887D84">
          <w:rPr>
            <w:webHidden/>
          </w:rPr>
          <w:fldChar w:fldCharType="separate"/>
        </w:r>
        <w:r w:rsidR="00887D84">
          <w:rPr>
            <w:rStyle w:val="czeindeksu"/>
            <w:rFonts w:ascii="Times New Roman" w:hAnsi="Times New Roman" w:cs="Times New Roman"/>
          </w:rPr>
          <w:tab/>
          <w:t>32</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02">
        <w:r w:rsidR="00887D84">
          <w:rPr>
            <w:rStyle w:val="czeindeksu"/>
            <w:rFonts w:ascii="Times New Roman" w:hAnsi="Times New Roman" w:cs="Times New Roman"/>
          </w:rPr>
          <w:t>Wykres 37: Długość sieci rozdzielczej wodociągowej na 100 km2 w poszczególnych JST OF w latach 2015-2018 (w km)</w:t>
        </w:r>
        <w:r w:rsidR="00887D84">
          <w:rPr>
            <w:webHidden/>
          </w:rPr>
          <w:fldChar w:fldCharType="begin"/>
        </w:r>
        <w:r w:rsidR="00887D84">
          <w:rPr>
            <w:webHidden/>
          </w:rPr>
          <w:instrText>PAGEREF _Toc75899502 \h</w:instrText>
        </w:r>
        <w:r w:rsidR="00887D84">
          <w:rPr>
            <w:webHidden/>
          </w:rPr>
        </w:r>
        <w:r w:rsidR="00887D84">
          <w:rPr>
            <w:webHidden/>
          </w:rPr>
          <w:fldChar w:fldCharType="separate"/>
        </w:r>
        <w:r w:rsidR="00887D84">
          <w:rPr>
            <w:rStyle w:val="czeindeksu"/>
            <w:rFonts w:ascii="Times New Roman" w:hAnsi="Times New Roman" w:cs="Times New Roman"/>
          </w:rPr>
          <w:tab/>
          <w:t>32</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03">
        <w:r w:rsidR="00887D84">
          <w:rPr>
            <w:rStyle w:val="czeindeksu"/>
            <w:rFonts w:ascii="Times New Roman" w:hAnsi="Times New Roman" w:cs="Times New Roman"/>
          </w:rPr>
          <w:t>Wykres 38: Długość sieci rozdzielczej kanalizacyjnej na 100 km2 w poszczególnych JST OF w latach 2015-2018 (w km)</w:t>
        </w:r>
        <w:r w:rsidR="00887D84">
          <w:rPr>
            <w:webHidden/>
          </w:rPr>
          <w:fldChar w:fldCharType="begin"/>
        </w:r>
        <w:r w:rsidR="00887D84">
          <w:rPr>
            <w:webHidden/>
          </w:rPr>
          <w:instrText>PAGEREF _Toc75899503 \h</w:instrText>
        </w:r>
        <w:r w:rsidR="00887D84">
          <w:rPr>
            <w:webHidden/>
          </w:rPr>
        </w:r>
        <w:r w:rsidR="00887D84">
          <w:rPr>
            <w:webHidden/>
          </w:rPr>
          <w:fldChar w:fldCharType="separate"/>
        </w:r>
        <w:r w:rsidR="00887D84">
          <w:rPr>
            <w:rStyle w:val="czeindeksu"/>
            <w:rFonts w:ascii="Times New Roman" w:hAnsi="Times New Roman" w:cs="Times New Roman"/>
          </w:rPr>
          <w:tab/>
          <w:t>33</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04">
        <w:r w:rsidR="00887D84">
          <w:rPr>
            <w:rStyle w:val="czeindeksu"/>
            <w:rFonts w:ascii="Times New Roman" w:hAnsi="Times New Roman" w:cs="Times New Roman"/>
          </w:rPr>
          <w:t>Wykres 39: Długość sieci rozdzielczej gazowej na 100 km2 w poszczególnych JST OF w latach 2015-2018 (w km)</w:t>
        </w:r>
        <w:r w:rsidR="00887D84">
          <w:rPr>
            <w:webHidden/>
          </w:rPr>
          <w:fldChar w:fldCharType="begin"/>
        </w:r>
        <w:r w:rsidR="00887D84">
          <w:rPr>
            <w:webHidden/>
          </w:rPr>
          <w:instrText>PAGEREF _Toc75899504 \h</w:instrText>
        </w:r>
        <w:r w:rsidR="00887D84">
          <w:rPr>
            <w:webHidden/>
          </w:rPr>
        </w:r>
        <w:r w:rsidR="00887D84">
          <w:rPr>
            <w:webHidden/>
          </w:rPr>
          <w:fldChar w:fldCharType="separate"/>
        </w:r>
        <w:r w:rsidR="00887D84">
          <w:rPr>
            <w:rStyle w:val="czeindeksu"/>
            <w:rFonts w:ascii="Times New Roman" w:hAnsi="Times New Roman" w:cs="Times New Roman"/>
          </w:rPr>
          <w:tab/>
          <w:t>33</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05">
        <w:r w:rsidR="00887D84">
          <w:rPr>
            <w:rStyle w:val="czeindeksu"/>
            <w:rFonts w:ascii="Times New Roman" w:hAnsi="Times New Roman" w:cs="Times New Roman"/>
          </w:rPr>
          <w:t>Wykres 40: Korzystający z instalacji w % ogółu ludności w poszczególnych JST OF w latach 2015-2018 (w %)</w:t>
        </w:r>
        <w:r w:rsidR="00887D84">
          <w:rPr>
            <w:webHidden/>
          </w:rPr>
          <w:fldChar w:fldCharType="begin"/>
        </w:r>
        <w:r w:rsidR="00887D84">
          <w:rPr>
            <w:webHidden/>
          </w:rPr>
          <w:instrText>PAGEREF _Toc75899505 \h</w:instrText>
        </w:r>
        <w:r w:rsidR="00887D84">
          <w:rPr>
            <w:webHidden/>
          </w:rPr>
        </w:r>
        <w:r w:rsidR="00887D84">
          <w:rPr>
            <w:webHidden/>
          </w:rPr>
          <w:fldChar w:fldCharType="separate"/>
        </w:r>
        <w:r w:rsidR="00887D84">
          <w:rPr>
            <w:rStyle w:val="czeindeksu"/>
            <w:rFonts w:ascii="Times New Roman" w:hAnsi="Times New Roman" w:cs="Times New Roman"/>
          </w:rPr>
          <w:tab/>
          <w:t>34</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06">
        <w:r w:rsidR="00887D84">
          <w:rPr>
            <w:rStyle w:val="czeindeksu"/>
            <w:rFonts w:ascii="Times New Roman" w:hAnsi="Times New Roman" w:cs="Times New Roman"/>
          </w:rPr>
          <w:t>Wykres 41: Powierzchnia gospodarstw rolnych wg grup obszarowych użytków rolnych (ha) na obszarze OF w 2010 r.</w:t>
        </w:r>
        <w:r w:rsidR="00887D84">
          <w:rPr>
            <w:webHidden/>
          </w:rPr>
          <w:fldChar w:fldCharType="begin"/>
        </w:r>
        <w:r w:rsidR="00887D84">
          <w:rPr>
            <w:webHidden/>
          </w:rPr>
          <w:instrText>PAGEREF _Toc75899506 \h</w:instrText>
        </w:r>
        <w:r w:rsidR="00887D84">
          <w:rPr>
            <w:webHidden/>
          </w:rPr>
        </w:r>
        <w:r w:rsidR="00887D84">
          <w:rPr>
            <w:webHidden/>
          </w:rPr>
          <w:fldChar w:fldCharType="separate"/>
        </w:r>
        <w:r w:rsidR="00887D84">
          <w:rPr>
            <w:rStyle w:val="czeindeksu"/>
            <w:rFonts w:ascii="Times New Roman" w:hAnsi="Times New Roman" w:cs="Times New Roman"/>
          </w:rPr>
          <w:tab/>
          <w:t>36</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07">
        <w:r w:rsidR="00887D84">
          <w:rPr>
            <w:rStyle w:val="czeindeksu"/>
            <w:rFonts w:ascii="Times New Roman" w:hAnsi="Times New Roman" w:cs="Times New Roman"/>
          </w:rPr>
          <w:t>Wykres 42: Powierzchnia gospodarstw rolnych wg grup obszarowych użytków rolnych (ha) w poszczególnych JST OF w 2010 r.</w:t>
        </w:r>
        <w:r w:rsidR="00887D84">
          <w:rPr>
            <w:webHidden/>
          </w:rPr>
          <w:fldChar w:fldCharType="begin"/>
        </w:r>
        <w:r w:rsidR="00887D84">
          <w:rPr>
            <w:webHidden/>
          </w:rPr>
          <w:instrText>PAGEREF _Toc75899507 \h</w:instrText>
        </w:r>
        <w:r w:rsidR="00887D84">
          <w:rPr>
            <w:webHidden/>
          </w:rPr>
        </w:r>
        <w:r w:rsidR="00887D84">
          <w:rPr>
            <w:webHidden/>
          </w:rPr>
          <w:fldChar w:fldCharType="separate"/>
        </w:r>
        <w:r w:rsidR="00887D84">
          <w:rPr>
            <w:rStyle w:val="czeindeksu"/>
            <w:rFonts w:ascii="Times New Roman" w:hAnsi="Times New Roman" w:cs="Times New Roman"/>
          </w:rPr>
          <w:tab/>
          <w:t>36</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08">
        <w:r w:rsidR="00887D84">
          <w:rPr>
            <w:rStyle w:val="czeindeksu"/>
            <w:rFonts w:ascii="Times New Roman" w:hAnsi="Times New Roman" w:cs="Times New Roman"/>
          </w:rPr>
          <w:t>Wykres 43: Podmioty gospodarki narodowej wpisane do rejestru REGON na obszarze OF w latach 2015-2019</w:t>
        </w:r>
        <w:r w:rsidR="00887D84">
          <w:rPr>
            <w:webHidden/>
          </w:rPr>
          <w:fldChar w:fldCharType="begin"/>
        </w:r>
        <w:r w:rsidR="00887D84">
          <w:rPr>
            <w:webHidden/>
          </w:rPr>
          <w:instrText>PAGEREF _Toc75899508 \h</w:instrText>
        </w:r>
        <w:r w:rsidR="00887D84">
          <w:rPr>
            <w:webHidden/>
          </w:rPr>
        </w:r>
        <w:r w:rsidR="00887D84">
          <w:rPr>
            <w:webHidden/>
          </w:rPr>
          <w:fldChar w:fldCharType="separate"/>
        </w:r>
        <w:r w:rsidR="00887D84">
          <w:rPr>
            <w:rStyle w:val="czeindeksu"/>
            <w:rFonts w:ascii="Times New Roman" w:hAnsi="Times New Roman" w:cs="Times New Roman"/>
          </w:rPr>
          <w:tab/>
          <w:t>37</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09">
        <w:r w:rsidR="00887D84">
          <w:rPr>
            <w:rStyle w:val="czeindeksu"/>
            <w:rFonts w:ascii="Times New Roman" w:hAnsi="Times New Roman" w:cs="Times New Roman"/>
          </w:rPr>
          <w:t>Wykres 44: Podmioty gospodarki narodowej ogółem wpisane do rejestru REGON w poszczególnych JST OF w latach 2015-2019</w:t>
        </w:r>
        <w:r w:rsidR="00887D84">
          <w:rPr>
            <w:webHidden/>
          </w:rPr>
          <w:fldChar w:fldCharType="begin"/>
        </w:r>
        <w:r w:rsidR="00887D84">
          <w:rPr>
            <w:webHidden/>
          </w:rPr>
          <w:instrText>PAGEREF _Toc75899509 \h</w:instrText>
        </w:r>
        <w:r w:rsidR="00887D84">
          <w:rPr>
            <w:webHidden/>
          </w:rPr>
        </w:r>
        <w:r w:rsidR="00887D84">
          <w:rPr>
            <w:webHidden/>
          </w:rPr>
          <w:fldChar w:fldCharType="separate"/>
        </w:r>
        <w:r w:rsidR="00887D84">
          <w:rPr>
            <w:rStyle w:val="czeindeksu"/>
            <w:rFonts w:ascii="Times New Roman" w:hAnsi="Times New Roman" w:cs="Times New Roman"/>
          </w:rPr>
          <w:tab/>
          <w:t>37</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10">
        <w:r w:rsidR="00887D84">
          <w:rPr>
            <w:rStyle w:val="czeindeksu"/>
            <w:rFonts w:ascii="Times New Roman" w:hAnsi="Times New Roman" w:cs="Times New Roman"/>
          </w:rPr>
          <w:t>Wykres 45: Podmioty gospodarki narodowej wg sektorów własności wpisane do rejestru REGON w poszczególnych JST OF w latach 2015-2019</w:t>
        </w:r>
        <w:r w:rsidR="00887D84">
          <w:rPr>
            <w:webHidden/>
          </w:rPr>
          <w:fldChar w:fldCharType="begin"/>
        </w:r>
        <w:r w:rsidR="00887D84">
          <w:rPr>
            <w:webHidden/>
          </w:rPr>
          <w:instrText>PAGEREF _Toc75899510 \h</w:instrText>
        </w:r>
        <w:r w:rsidR="00887D84">
          <w:rPr>
            <w:webHidden/>
          </w:rPr>
        </w:r>
        <w:r w:rsidR="00887D84">
          <w:rPr>
            <w:webHidden/>
          </w:rPr>
          <w:fldChar w:fldCharType="separate"/>
        </w:r>
        <w:r w:rsidR="00887D84">
          <w:rPr>
            <w:rStyle w:val="czeindeksu"/>
            <w:rFonts w:ascii="Times New Roman" w:hAnsi="Times New Roman" w:cs="Times New Roman"/>
          </w:rPr>
          <w:tab/>
          <w:t>38</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11">
        <w:r w:rsidR="00887D84">
          <w:rPr>
            <w:rStyle w:val="czeindeksu"/>
            <w:rFonts w:ascii="Times New Roman" w:hAnsi="Times New Roman" w:cs="Times New Roman"/>
          </w:rPr>
          <w:t>Wykres 46: Podmioty gospodarcze wpisane do rejestru REGON wg klas wielkości na obszarze OF w latach 2015-2019</w:t>
        </w:r>
        <w:r w:rsidR="00887D84">
          <w:rPr>
            <w:webHidden/>
          </w:rPr>
          <w:fldChar w:fldCharType="begin"/>
        </w:r>
        <w:r w:rsidR="00887D84">
          <w:rPr>
            <w:webHidden/>
          </w:rPr>
          <w:instrText>PAGEREF _Toc75899511 \h</w:instrText>
        </w:r>
        <w:r w:rsidR="00887D84">
          <w:rPr>
            <w:webHidden/>
          </w:rPr>
        </w:r>
        <w:r w:rsidR="00887D84">
          <w:rPr>
            <w:webHidden/>
          </w:rPr>
          <w:fldChar w:fldCharType="separate"/>
        </w:r>
        <w:r w:rsidR="00887D84">
          <w:rPr>
            <w:rStyle w:val="czeindeksu"/>
            <w:rFonts w:ascii="Times New Roman" w:hAnsi="Times New Roman" w:cs="Times New Roman"/>
          </w:rPr>
          <w:tab/>
          <w:t>38</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12">
        <w:r w:rsidR="00887D84">
          <w:rPr>
            <w:rStyle w:val="czeindeksu"/>
            <w:rFonts w:ascii="Times New Roman" w:hAnsi="Times New Roman" w:cs="Times New Roman"/>
          </w:rPr>
          <w:t>Wykres 47: Podmioty gospodarcze wg grup rodzajów działalności PKD 2007 na obszarze OF w latach 2015-2019</w:t>
        </w:r>
        <w:r w:rsidR="00887D84">
          <w:rPr>
            <w:webHidden/>
          </w:rPr>
          <w:fldChar w:fldCharType="begin"/>
        </w:r>
        <w:r w:rsidR="00887D84">
          <w:rPr>
            <w:webHidden/>
          </w:rPr>
          <w:instrText>PAGEREF _Toc75899512 \h</w:instrText>
        </w:r>
        <w:r w:rsidR="00887D84">
          <w:rPr>
            <w:webHidden/>
          </w:rPr>
        </w:r>
        <w:r w:rsidR="00887D84">
          <w:rPr>
            <w:webHidden/>
          </w:rPr>
          <w:fldChar w:fldCharType="separate"/>
        </w:r>
        <w:r w:rsidR="00887D84">
          <w:rPr>
            <w:rStyle w:val="czeindeksu"/>
            <w:rFonts w:ascii="Times New Roman" w:hAnsi="Times New Roman" w:cs="Times New Roman"/>
          </w:rPr>
          <w:tab/>
          <w:t>40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13">
        <w:r w:rsidR="00887D84">
          <w:rPr>
            <w:rStyle w:val="czeindeksu"/>
            <w:rFonts w:ascii="Times New Roman" w:hAnsi="Times New Roman" w:cs="Times New Roman"/>
          </w:rPr>
          <w:t>Wykres 48: Struktura podmiotów gospodarczych wg grup rodzajów działalności PKD 2007 na obszarze OF w 2019 r.</w:t>
        </w:r>
        <w:r w:rsidR="00887D84">
          <w:rPr>
            <w:webHidden/>
          </w:rPr>
          <w:fldChar w:fldCharType="begin"/>
        </w:r>
        <w:r w:rsidR="00887D84">
          <w:rPr>
            <w:webHidden/>
          </w:rPr>
          <w:instrText>PAGEREF _Toc75899513 \h</w:instrText>
        </w:r>
        <w:r w:rsidR="00887D84">
          <w:rPr>
            <w:webHidden/>
          </w:rPr>
        </w:r>
        <w:r w:rsidR="00887D84">
          <w:rPr>
            <w:webHidden/>
          </w:rPr>
          <w:fldChar w:fldCharType="separate"/>
        </w:r>
        <w:r w:rsidR="00887D84">
          <w:rPr>
            <w:rStyle w:val="czeindeksu"/>
            <w:rFonts w:ascii="Times New Roman" w:hAnsi="Times New Roman" w:cs="Times New Roman"/>
          </w:rPr>
          <w:tab/>
          <w:t>40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14">
        <w:r w:rsidR="00887D84">
          <w:rPr>
            <w:rStyle w:val="czeindeksu"/>
            <w:rFonts w:ascii="Times New Roman" w:hAnsi="Times New Roman" w:cs="Times New Roman"/>
          </w:rPr>
          <w:t>Wykres 49: Zmiany w liczbie podmiotów zarejestrowanych w rejestrze REGON na obszarze OF w latach 2015-2019</w:t>
        </w:r>
        <w:r w:rsidR="00887D84">
          <w:rPr>
            <w:webHidden/>
          </w:rPr>
          <w:fldChar w:fldCharType="begin"/>
        </w:r>
        <w:r w:rsidR="00887D84">
          <w:rPr>
            <w:webHidden/>
          </w:rPr>
          <w:instrText>PAGEREF _Toc75899514 \h</w:instrText>
        </w:r>
        <w:r w:rsidR="00887D84">
          <w:rPr>
            <w:webHidden/>
          </w:rPr>
        </w:r>
        <w:r w:rsidR="00887D84">
          <w:rPr>
            <w:webHidden/>
          </w:rPr>
          <w:fldChar w:fldCharType="separate"/>
        </w:r>
        <w:r w:rsidR="00887D84">
          <w:rPr>
            <w:rStyle w:val="czeindeksu"/>
            <w:rFonts w:ascii="Times New Roman" w:hAnsi="Times New Roman" w:cs="Times New Roman"/>
          </w:rPr>
          <w:tab/>
          <w:t>41</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15">
        <w:r w:rsidR="00887D84">
          <w:rPr>
            <w:rStyle w:val="czeindeksu"/>
            <w:rFonts w:ascii="Times New Roman" w:hAnsi="Times New Roman" w:cs="Times New Roman"/>
          </w:rPr>
          <w:t>Wykres 50: Zmiany w liczbie podmiotów zarejestrowanych w rejestrze REGON w poszczególnych JST OF w latach 2015-2019</w:t>
        </w:r>
        <w:r w:rsidR="00887D84">
          <w:rPr>
            <w:webHidden/>
          </w:rPr>
          <w:fldChar w:fldCharType="begin"/>
        </w:r>
        <w:r w:rsidR="00887D84">
          <w:rPr>
            <w:webHidden/>
          </w:rPr>
          <w:instrText>PAGEREF _Toc75899515 \h</w:instrText>
        </w:r>
        <w:r w:rsidR="00887D84">
          <w:rPr>
            <w:webHidden/>
          </w:rPr>
        </w:r>
        <w:r w:rsidR="00887D84">
          <w:rPr>
            <w:webHidden/>
          </w:rPr>
          <w:fldChar w:fldCharType="separate"/>
        </w:r>
        <w:r w:rsidR="00887D84">
          <w:rPr>
            <w:rStyle w:val="czeindeksu"/>
            <w:rFonts w:ascii="Times New Roman" w:hAnsi="Times New Roman" w:cs="Times New Roman"/>
          </w:rPr>
          <w:tab/>
          <w:t>42</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16">
        <w:r w:rsidR="00887D84">
          <w:rPr>
            <w:rStyle w:val="czeindeksu"/>
            <w:rFonts w:ascii="Times New Roman" w:hAnsi="Times New Roman" w:cs="Times New Roman"/>
          </w:rPr>
          <w:t>Wykres 51: Podmioty gospodarcze na obszarze OF w latach 2015-2019 – wskaźniki</w:t>
        </w:r>
        <w:r w:rsidR="00887D84">
          <w:rPr>
            <w:webHidden/>
          </w:rPr>
          <w:fldChar w:fldCharType="begin"/>
        </w:r>
        <w:r w:rsidR="00887D84">
          <w:rPr>
            <w:webHidden/>
          </w:rPr>
          <w:instrText>PAGEREF _Toc75899516 \h</w:instrText>
        </w:r>
        <w:r w:rsidR="00887D84">
          <w:rPr>
            <w:webHidden/>
          </w:rPr>
        </w:r>
        <w:r w:rsidR="00887D84">
          <w:rPr>
            <w:webHidden/>
          </w:rPr>
          <w:fldChar w:fldCharType="separate"/>
        </w:r>
        <w:r w:rsidR="00887D84">
          <w:rPr>
            <w:rStyle w:val="czeindeksu"/>
            <w:rFonts w:ascii="Times New Roman" w:hAnsi="Times New Roman" w:cs="Times New Roman"/>
          </w:rPr>
          <w:tab/>
          <w:t>43</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17">
        <w:r w:rsidR="00887D84">
          <w:rPr>
            <w:rStyle w:val="czeindeksu"/>
            <w:rFonts w:ascii="Times New Roman" w:hAnsi="Times New Roman" w:cs="Times New Roman"/>
          </w:rPr>
          <w:t>Wykres 52: Podmioty gospodarcze w poszczególnych JST OF w latach 2015-2019 – wskaźniki</w:t>
        </w:r>
        <w:r w:rsidR="00887D84">
          <w:rPr>
            <w:webHidden/>
          </w:rPr>
          <w:fldChar w:fldCharType="begin"/>
        </w:r>
        <w:r w:rsidR="00887D84">
          <w:rPr>
            <w:webHidden/>
          </w:rPr>
          <w:instrText>PAGEREF _Toc75899517 \h</w:instrText>
        </w:r>
        <w:r w:rsidR="00887D84">
          <w:rPr>
            <w:webHidden/>
          </w:rPr>
        </w:r>
        <w:r w:rsidR="00887D84">
          <w:rPr>
            <w:webHidden/>
          </w:rPr>
          <w:fldChar w:fldCharType="separate"/>
        </w:r>
        <w:r w:rsidR="00887D84">
          <w:rPr>
            <w:rStyle w:val="czeindeksu"/>
            <w:rFonts w:ascii="Times New Roman" w:hAnsi="Times New Roman" w:cs="Times New Roman"/>
          </w:rPr>
          <w:tab/>
          <w:t>43</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18">
        <w:r w:rsidR="00887D84">
          <w:rPr>
            <w:rStyle w:val="czeindeksu"/>
            <w:rFonts w:ascii="Times New Roman" w:hAnsi="Times New Roman" w:cs="Times New Roman"/>
          </w:rPr>
          <w:t>Wykres 53: Podmioty gospodarki narodowej wpisane do rejestru REGON wg sekcji PKD 2007 na terenie OF w latach 2015-2019</w:t>
        </w:r>
        <w:r w:rsidR="00887D84">
          <w:rPr>
            <w:webHidden/>
          </w:rPr>
          <w:fldChar w:fldCharType="begin"/>
        </w:r>
        <w:r w:rsidR="00887D84">
          <w:rPr>
            <w:webHidden/>
          </w:rPr>
          <w:instrText>PAGEREF _Toc75899518 \h</w:instrText>
        </w:r>
        <w:r w:rsidR="00887D84">
          <w:rPr>
            <w:webHidden/>
          </w:rPr>
        </w:r>
        <w:r w:rsidR="00887D84">
          <w:rPr>
            <w:webHidden/>
          </w:rPr>
          <w:fldChar w:fldCharType="separate"/>
        </w:r>
        <w:r w:rsidR="00887D84">
          <w:rPr>
            <w:rStyle w:val="czeindeksu"/>
            <w:rFonts w:ascii="Times New Roman" w:hAnsi="Times New Roman" w:cs="Times New Roman"/>
          </w:rPr>
          <w:tab/>
          <w:t>46</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19">
        <w:r w:rsidR="00887D84">
          <w:rPr>
            <w:rStyle w:val="czeindeksu"/>
            <w:rFonts w:ascii="Times New Roman" w:hAnsi="Times New Roman" w:cs="Times New Roman"/>
          </w:rPr>
          <w:t>Wykres 54: Działalność bibliotek na obszarze OF w latach 2015-2019</w:t>
        </w:r>
        <w:r w:rsidR="00887D84">
          <w:rPr>
            <w:webHidden/>
          </w:rPr>
          <w:fldChar w:fldCharType="begin"/>
        </w:r>
        <w:r w:rsidR="00887D84">
          <w:rPr>
            <w:webHidden/>
          </w:rPr>
          <w:instrText>PAGEREF _Toc75899519 \h</w:instrText>
        </w:r>
        <w:r w:rsidR="00887D84">
          <w:rPr>
            <w:webHidden/>
          </w:rPr>
        </w:r>
        <w:r w:rsidR="00887D84">
          <w:rPr>
            <w:webHidden/>
          </w:rPr>
          <w:fldChar w:fldCharType="separate"/>
        </w:r>
        <w:r w:rsidR="00887D84">
          <w:rPr>
            <w:rStyle w:val="czeindeksu"/>
            <w:rFonts w:ascii="Times New Roman" w:hAnsi="Times New Roman" w:cs="Times New Roman"/>
          </w:rPr>
          <w:tab/>
          <w:t>49</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20">
        <w:r w:rsidR="00887D84">
          <w:rPr>
            <w:rStyle w:val="czeindeksu"/>
            <w:rFonts w:ascii="Times New Roman" w:hAnsi="Times New Roman" w:cs="Times New Roman"/>
          </w:rPr>
          <w:t>Wykres 55: Liczba czytelników w ciągu roku w bibliotekach zlokalizowanych w poszczególnych JST OF w latach 2015-2019</w:t>
        </w:r>
        <w:r w:rsidR="00887D84">
          <w:rPr>
            <w:webHidden/>
          </w:rPr>
          <w:fldChar w:fldCharType="begin"/>
        </w:r>
        <w:r w:rsidR="00887D84">
          <w:rPr>
            <w:webHidden/>
          </w:rPr>
          <w:instrText>PAGEREF _Toc75899520 \h</w:instrText>
        </w:r>
        <w:r w:rsidR="00887D84">
          <w:rPr>
            <w:webHidden/>
          </w:rPr>
        </w:r>
        <w:r w:rsidR="00887D84">
          <w:rPr>
            <w:webHidden/>
          </w:rPr>
          <w:fldChar w:fldCharType="separate"/>
        </w:r>
        <w:r w:rsidR="00887D84">
          <w:rPr>
            <w:rStyle w:val="czeindeksu"/>
            <w:rFonts w:ascii="Times New Roman" w:hAnsi="Times New Roman" w:cs="Times New Roman"/>
          </w:rPr>
          <w:tab/>
          <w:t>50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21">
        <w:r w:rsidR="00887D84">
          <w:rPr>
            <w:rStyle w:val="czeindeksu"/>
            <w:rFonts w:ascii="Times New Roman" w:hAnsi="Times New Roman" w:cs="Times New Roman"/>
          </w:rPr>
          <w:t>Wykres 56: Księgozbiór bibliotek zlokalizowanych w poszczególnych JST OF w latach 2015-2019</w:t>
        </w:r>
        <w:r w:rsidR="00887D84">
          <w:rPr>
            <w:webHidden/>
          </w:rPr>
          <w:fldChar w:fldCharType="begin"/>
        </w:r>
        <w:r w:rsidR="00887D84">
          <w:rPr>
            <w:webHidden/>
          </w:rPr>
          <w:instrText>PAGEREF _Toc75899521 \h</w:instrText>
        </w:r>
        <w:r w:rsidR="00887D84">
          <w:rPr>
            <w:webHidden/>
          </w:rPr>
        </w:r>
        <w:r w:rsidR="00887D84">
          <w:rPr>
            <w:webHidden/>
          </w:rPr>
          <w:fldChar w:fldCharType="separate"/>
        </w:r>
        <w:r w:rsidR="00887D84">
          <w:rPr>
            <w:rStyle w:val="czeindeksu"/>
            <w:rFonts w:ascii="Times New Roman" w:hAnsi="Times New Roman" w:cs="Times New Roman"/>
          </w:rPr>
          <w:tab/>
          <w:t>50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22">
        <w:r w:rsidR="00887D84">
          <w:rPr>
            <w:rStyle w:val="czeindeksu"/>
            <w:rFonts w:ascii="Times New Roman" w:hAnsi="Times New Roman" w:cs="Times New Roman"/>
          </w:rPr>
          <w:t>Wykres 57: Liczba wypożyczeń na zewnątrz księgozbioru w bibliotekach zlokalizowanych w poszczególnych JST OF w latach 2015-2019</w:t>
        </w:r>
        <w:r w:rsidR="00887D84">
          <w:rPr>
            <w:webHidden/>
          </w:rPr>
          <w:fldChar w:fldCharType="begin"/>
        </w:r>
        <w:r w:rsidR="00887D84">
          <w:rPr>
            <w:webHidden/>
          </w:rPr>
          <w:instrText>PAGEREF _Toc75899522 \h</w:instrText>
        </w:r>
        <w:r w:rsidR="00887D84">
          <w:rPr>
            <w:webHidden/>
          </w:rPr>
        </w:r>
        <w:r w:rsidR="00887D84">
          <w:rPr>
            <w:webHidden/>
          </w:rPr>
          <w:fldChar w:fldCharType="separate"/>
        </w:r>
        <w:r w:rsidR="00887D84">
          <w:rPr>
            <w:rStyle w:val="czeindeksu"/>
            <w:rFonts w:ascii="Times New Roman" w:hAnsi="Times New Roman" w:cs="Times New Roman"/>
          </w:rPr>
          <w:tab/>
          <w:t>50</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23">
        <w:r w:rsidR="00887D84">
          <w:rPr>
            <w:rStyle w:val="czeindeksu"/>
            <w:rFonts w:ascii="Times New Roman" w:hAnsi="Times New Roman" w:cs="Times New Roman"/>
          </w:rPr>
          <w:t>Wykres 58: Zmieszane odpady komunalne zebrane w ciągu roku (w t) ogółem i z gospodarstw domowych na terenie OF w latach 2015-2019</w:t>
        </w:r>
        <w:r w:rsidR="00887D84">
          <w:rPr>
            <w:webHidden/>
          </w:rPr>
          <w:fldChar w:fldCharType="begin"/>
        </w:r>
        <w:r w:rsidR="00887D84">
          <w:rPr>
            <w:webHidden/>
          </w:rPr>
          <w:instrText>PAGEREF _Toc75899523 \h</w:instrText>
        </w:r>
        <w:r w:rsidR="00887D84">
          <w:rPr>
            <w:webHidden/>
          </w:rPr>
        </w:r>
        <w:r w:rsidR="00887D84">
          <w:rPr>
            <w:webHidden/>
          </w:rPr>
          <w:fldChar w:fldCharType="separate"/>
        </w:r>
        <w:r w:rsidR="00887D84">
          <w:rPr>
            <w:rStyle w:val="czeindeksu"/>
            <w:rFonts w:ascii="Times New Roman" w:hAnsi="Times New Roman" w:cs="Times New Roman"/>
          </w:rPr>
          <w:tab/>
          <w:t>55</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24">
        <w:r w:rsidR="00887D84">
          <w:rPr>
            <w:rStyle w:val="czeindeksu"/>
            <w:rFonts w:ascii="Times New Roman" w:hAnsi="Times New Roman" w:cs="Times New Roman"/>
          </w:rPr>
          <w:t>Wykres 59: : Odpady komunalne zebrane w ciągu roku ogółem w przeliczeniu na 1 mieszkańca (w kg) na terenie OF w latach 2015-2019</w:t>
        </w:r>
        <w:r w:rsidR="00887D84">
          <w:rPr>
            <w:webHidden/>
          </w:rPr>
          <w:fldChar w:fldCharType="begin"/>
        </w:r>
        <w:r w:rsidR="00887D84">
          <w:rPr>
            <w:webHidden/>
          </w:rPr>
          <w:instrText>PAGEREF _Toc75899524 \h</w:instrText>
        </w:r>
        <w:r w:rsidR="00887D84">
          <w:rPr>
            <w:webHidden/>
          </w:rPr>
        </w:r>
        <w:r w:rsidR="00887D84">
          <w:rPr>
            <w:webHidden/>
          </w:rPr>
          <w:fldChar w:fldCharType="separate"/>
        </w:r>
        <w:r w:rsidR="00887D84">
          <w:rPr>
            <w:rStyle w:val="czeindeksu"/>
            <w:rFonts w:ascii="Times New Roman" w:hAnsi="Times New Roman" w:cs="Times New Roman"/>
          </w:rPr>
          <w:tab/>
          <w:t>55</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25">
        <w:r w:rsidR="00887D84">
          <w:rPr>
            <w:rStyle w:val="czeindeksu"/>
            <w:rFonts w:ascii="Times New Roman" w:hAnsi="Times New Roman" w:cs="Times New Roman"/>
          </w:rPr>
          <w:t>Wykres 60: Zmieszane odpady komunalne zebrane w ciągu roku (w t) ogółem i z gospodarstw domowych w poszczególnych JST na terenie OF w latach 2015-2019</w:t>
        </w:r>
        <w:r w:rsidR="00887D84">
          <w:rPr>
            <w:webHidden/>
          </w:rPr>
          <w:fldChar w:fldCharType="begin"/>
        </w:r>
        <w:r w:rsidR="00887D84">
          <w:rPr>
            <w:webHidden/>
          </w:rPr>
          <w:instrText>PAGEREF _Toc75899525 \h</w:instrText>
        </w:r>
        <w:r w:rsidR="00887D84">
          <w:rPr>
            <w:webHidden/>
          </w:rPr>
        </w:r>
        <w:r w:rsidR="00887D84">
          <w:rPr>
            <w:webHidden/>
          </w:rPr>
          <w:fldChar w:fldCharType="separate"/>
        </w:r>
        <w:r w:rsidR="00887D84">
          <w:rPr>
            <w:rStyle w:val="czeindeksu"/>
            <w:rFonts w:ascii="Times New Roman" w:hAnsi="Times New Roman" w:cs="Times New Roman"/>
          </w:rPr>
          <w:tab/>
          <w:t>56</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26">
        <w:r w:rsidR="00887D84">
          <w:rPr>
            <w:rStyle w:val="czeindeksu"/>
            <w:rFonts w:ascii="Times New Roman" w:hAnsi="Times New Roman" w:cs="Times New Roman"/>
          </w:rPr>
          <w:t>Wykres 61: Odpady komunalne zebrane w ciągu roku ogółem w przeliczeniu na 1 mieszkańca (w kg) w poszczególnych JST na terenie OF w latach 2015-2019</w:t>
        </w:r>
        <w:r w:rsidR="00887D84">
          <w:rPr>
            <w:webHidden/>
          </w:rPr>
          <w:fldChar w:fldCharType="begin"/>
        </w:r>
        <w:r w:rsidR="00887D84">
          <w:rPr>
            <w:webHidden/>
          </w:rPr>
          <w:instrText>PAGEREF _Toc75899526 \h</w:instrText>
        </w:r>
        <w:r w:rsidR="00887D84">
          <w:rPr>
            <w:webHidden/>
          </w:rPr>
        </w:r>
        <w:r w:rsidR="00887D84">
          <w:rPr>
            <w:webHidden/>
          </w:rPr>
          <w:fldChar w:fldCharType="separate"/>
        </w:r>
        <w:r w:rsidR="00887D84">
          <w:rPr>
            <w:rStyle w:val="czeindeksu"/>
            <w:rFonts w:ascii="Times New Roman" w:hAnsi="Times New Roman" w:cs="Times New Roman"/>
          </w:rPr>
          <w:tab/>
          <w:t>56</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27">
        <w:r w:rsidR="00887D84">
          <w:rPr>
            <w:rStyle w:val="czeindeksu"/>
            <w:rFonts w:ascii="Times New Roman" w:hAnsi="Times New Roman" w:cs="Times New Roman"/>
          </w:rPr>
          <w:t>Wykres 62: Porady lekarskie w ramach podstawowej i ambulatoryjnej opieki zdrowotnej na terenie OF w latach 2015-2019</w:t>
        </w:r>
        <w:r w:rsidR="00887D84">
          <w:rPr>
            <w:webHidden/>
          </w:rPr>
          <w:fldChar w:fldCharType="begin"/>
        </w:r>
        <w:r w:rsidR="00887D84">
          <w:rPr>
            <w:webHidden/>
          </w:rPr>
          <w:instrText>PAGEREF _Toc75899527 \h</w:instrText>
        </w:r>
        <w:r w:rsidR="00887D84">
          <w:rPr>
            <w:webHidden/>
          </w:rPr>
        </w:r>
        <w:r w:rsidR="00887D84">
          <w:rPr>
            <w:webHidden/>
          </w:rPr>
          <w:fldChar w:fldCharType="separate"/>
        </w:r>
        <w:r w:rsidR="00887D84">
          <w:rPr>
            <w:rStyle w:val="czeindeksu"/>
            <w:rFonts w:ascii="Times New Roman" w:hAnsi="Times New Roman" w:cs="Times New Roman"/>
          </w:rPr>
          <w:tab/>
          <w:t>58</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28">
        <w:r w:rsidR="00887D84">
          <w:rPr>
            <w:rStyle w:val="czeindeksu"/>
            <w:rFonts w:ascii="Times New Roman" w:hAnsi="Times New Roman" w:cs="Times New Roman"/>
          </w:rPr>
          <w:t>Wykres 63: Porady lekarskie w ramach podstawowej i ambulatoryjnej opieki zdrowotnej w poszczególnych JST OF w latach 2015-2019</w:t>
        </w:r>
        <w:r w:rsidR="00887D84">
          <w:rPr>
            <w:webHidden/>
          </w:rPr>
          <w:fldChar w:fldCharType="begin"/>
        </w:r>
        <w:r w:rsidR="00887D84">
          <w:rPr>
            <w:webHidden/>
          </w:rPr>
          <w:instrText>PAGEREF _Toc75899528 \h</w:instrText>
        </w:r>
        <w:r w:rsidR="00887D84">
          <w:rPr>
            <w:webHidden/>
          </w:rPr>
        </w:r>
        <w:r w:rsidR="00887D84">
          <w:rPr>
            <w:webHidden/>
          </w:rPr>
          <w:fldChar w:fldCharType="separate"/>
        </w:r>
        <w:r w:rsidR="00887D84">
          <w:rPr>
            <w:rStyle w:val="czeindeksu"/>
            <w:rFonts w:ascii="Times New Roman" w:hAnsi="Times New Roman" w:cs="Times New Roman"/>
          </w:rPr>
          <w:tab/>
          <w:t>58</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29">
        <w:r w:rsidR="00887D84">
          <w:rPr>
            <w:rStyle w:val="czeindeksu"/>
            <w:rFonts w:ascii="Times New Roman" w:hAnsi="Times New Roman" w:cs="Times New Roman"/>
          </w:rPr>
          <w:t>Wykres 64: Dochody i wydatki budżetów gmin wchodzących w skład OF w przeliczeniu na 1 mieszkańca (w zł) w latach 2017-2019</w:t>
        </w:r>
        <w:r w:rsidR="00887D84">
          <w:rPr>
            <w:webHidden/>
          </w:rPr>
          <w:fldChar w:fldCharType="begin"/>
        </w:r>
        <w:r w:rsidR="00887D84">
          <w:rPr>
            <w:webHidden/>
          </w:rPr>
          <w:instrText>PAGEREF _Toc75899529 \h</w:instrText>
        </w:r>
        <w:r w:rsidR="00887D84">
          <w:rPr>
            <w:webHidden/>
          </w:rPr>
        </w:r>
        <w:r w:rsidR="00887D84">
          <w:rPr>
            <w:webHidden/>
          </w:rPr>
          <w:fldChar w:fldCharType="separate"/>
        </w:r>
        <w:r w:rsidR="00887D84">
          <w:rPr>
            <w:rStyle w:val="czeindeksu"/>
            <w:rFonts w:ascii="Times New Roman" w:hAnsi="Times New Roman" w:cs="Times New Roman"/>
          </w:rPr>
          <w:tab/>
          <w:t>62</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30">
        <w:r w:rsidR="00887D84">
          <w:rPr>
            <w:rStyle w:val="czeindeksu"/>
            <w:rFonts w:ascii="Times New Roman" w:hAnsi="Times New Roman" w:cs="Times New Roman"/>
          </w:rPr>
          <w:t>Wykres 65: Dochody budżetów gmin wchodzących w skład OF wg działów Klasyfikacji Budżetowej w latach 2017-2019</w:t>
        </w:r>
        <w:r w:rsidR="00887D84">
          <w:rPr>
            <w:webHidden/>
          </w:rPr>
          <w:fldChar w:fldCharType="begin"/>
        </w:r>
        <w:r w:rsidR="00887D84">
          <w:rPr>
            <w:webHidden/>
          </w:rPr>
          <w:instrText>PAGEREF _Toc75899530 \h</w:instrText>
        </w:r>
        <w:r w:rsidR="00887D84">
          <w:rPr>
            <w:webHidden/>
          </w:rPr>
        </w:r>
        <w:r w:rsidR="00887D84">
          <w:rPr>
            <w:webHidden/>
          </w:rPr>
          <w:fldChar w:fldCharType="separate"/>
        </w:r>
        <w:r w:rsidR="00887D84">
          <w:rPr>
            <w:rStyle w:val="czeindeksu"/>
            <w:rFonts w:ascii="Times New Roman" w:hAnsi="Times New Roman" w:cs="Times New Roman"/>
          </w:rPr>
          <w:tab/>
          <w:t>63</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31">
        <w:r w:rsidR="00887D84">
          <w:rPr>
            <w:rStyle w:val="czeindeksu"/>
            <w:rFonts w:ascii="Times New Roman" w:hAnsi="Times New Roman" w:cs="Times New Roman"/>
          </w:rPr>
          <w:t>Wykres 66: Wydatki budżetów gmin wchodzących w skład OF wg działów Klasyfikacji Budżetowej w latach 2017-2019</w:t>
        </w:r>
        <w:r w:rsidR="00887D84">
          <w:rPr>
            <w:webHidden/>
          </w:rPr>
          <w:fldChar w:fldCharType="begin"/>
        </w:r>
        <w:r w:rsidR="00887D84">
          <w:rPr>
            <w:webHidden/>
          </w:rPr>
          <w:instrText>PAGEREF _Toc75899531 \h</w:instrText>
        </w:r>
        <w:r w:rsidR="00887D84">
          <w:rPr>
            <w:webHidden/>
          </w:rPr>
        </w:r>
        <w:r w:rsidR="00887D84">
          <w:rPr>
            <w:webHidden/>
          </w:rPr>
          <w:fldChar w:fldCharType="separate"/>
        </w:r>
        <w:r w:rsidR="00887D84">
          <w:rPr>
            <w:rStyle w:val="czeindeksu"/>
            <w:rFonts w:ascii="Times New Roman" w:hAnsi="Times New Roman" w:cs="Times New Roman"/>
          </w:rPr>
          <w:tab/>
          <w:t>64</w:t>
        </w:r>
        <w:r w:rsidR="00887D84">
          <w:rPr>
            <w:webHidden/>
          </w:rPr>
          <w:fldChar w:fldCharType="end"/>
        </w:r>
      </w:hyperlink>
    </w:p>
    <w:p w:rsidR="00DC75FA" w:rsidRDefault="00A47575">
      <w:pPr>
        <w:pStyle w:val="Spisilustracji"/>
        <w:tabs>
          <w:tab w:val="right" w:leader="dot" w:pos="9628"/>
        </w:tabs>
        <w:rPr>
          <w:rFonts w:ascii="Times New Roman" w:eastAsiaTheme="minorEastAsia" w:hAnsi="Times New Roman" w:cs="Times New Roman"/>
          <w:lang w:eastAsia="pl-PL"/>
        </w:rPr>
      </w:pPr>
      <w:hyperlink w:anchor="_Toc75899532">
        <w:r w:rsidR="00887D84">
          <w:rPr>
            <w:rStyle w:val="czeindeksu"/>
            <w:rFonts w:ascii="Times New Roman" w:hAnsi="Times New Roman" w:cs="Times New Roman"/>
          </w:rPr>
          <w:t>Wykres 67 Środki z Unii Europejskiej pozyskane przez samorządy gmin współpracujących w ramach obszaru Zielone Zagłębie</w:t>
        </w:r>
        <w:r w:rsidR="00887D84">
          <w:rPr>
            <w:webHidden/>
          </w:rPr>
          <w:fldChar w:fldCharType="begin"/>
        </w:r>
        <w:r w:rsidR="00887D84">
          <w:rPr>
            <w:webHidden/>
          </w:rPr>
          <w:instrText>PAGEREF _Toc75899532 \h</w:instrText>
        </w:r>
        <w:r w:rsidR="00887D84">
          <w:rPr>
            <w:webHidden/>
          </w:rPr>
        </w:r>
        <w:r w:rsidR="00887D84">
          <w:rPr>
            <w:webHidden/>
          </w:rPr>
          <w:fldChar w:fldCharType="separate"/>
        </w:r>
        <w:r w:rsidR="00887D84">
          <w:rPr>
            <w:rStyle w:val="czeindeksu"/>
            <w:rFonts w:ascii="Times New Roman" w:hAnsi="Times New Roman" w:cs="Times New Roman"/>
          </w:rPr>
          <w:tab/>
          <w:t>66</w:t>
        </w:r>
        <w:r w:rsidR="00887D84">
          <w:rPr>
            <w:webHidden/>
          </w:rPr>
          <w:fldChar w:fldCharType="end"/>
        </w:r>
      </w:hyperlink>
    </w:p>
    <w:p w:rsidR="00DC75FA" w:rsidRDefault="00887D84">
      <w:pPr>
        <w:pStyle w:val="Spisilustracji"/>
        <w:tabs>
          <w:tab w:val="right" w:leader="dot" w:pos="9062"/>
        </w:tabs>
      </w:pPr>
      <w:r>
        <w:fldChar w:fldCharType="end"/>
      </w:r>
    </w:p>
    <w:sectPr w:rsidR="00DC75FA">
      <w:headerReference w:type="default" r:id="rId149"/>
      <w:footerReference w:type="default" r:id="rId150"/>
      <w:pgSz w:w="11906" w:h="16838"/>
      <w:pgMar w:top="1417" w:right="1417" w:bottom="1417" w:left="1417" w:header="708" w:footer="708"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90B" w:rsidRDefault="006B590B">
      <w:pPr>
        <w:spacing w:after="0" w:line="240" w:lineRule="auto"/>
      </w:pPr>
      <w:r>
        <w:separator/>
      </w:r>
    </w:p>
  </w:endnote>
  <w:endnote w:type="continuationSeparator" w:id="0">
    <w:p w:rsidR="006B590B" w:rsidRDefault="006B5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ymbolMT">
    <w:altName w:val="Times New Roman"/>
    <w:charset w:val="EE"/>
    <w:family w:val="roman"/>
    <w:pitch w:val="variable"/>
  </w:font>
  <w:font w:name="Calibri-Bold">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ndale Sans UI">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DC75FA">
    <w:pPr>
      <w:pStyle w:val="Stopka"/>
    </w:pPr>
  </w:p>
  <w:p w:rsidR="00DC75FA" w:rsidRDefault="00DC75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32275"/>
      <w:docPartObj>
        <w:docPartGallery w:val="Page Numbers (Bottom of Page)"/>
        <w:docPartUnique/>
      </w:docPartObj>
    </w:sdtPr>
    <w:sdtEndPr/>
    <w:sdtContent>
      <w:p w:rsidR="00DC75FA" w:rsidRDefault="00887D84">
        <w:pPr>
          <w:pStyle w:val="Stopka"/>
          <w:pBdr>
            <w:top w:val="single" w:sz="4" w:space="1" w:color="000000"/>
          </w:pBdr>
          <w:jc w:val="center"/>
          <w:rPr>
            <w:rFonts w:ascii="Times New Roman" w:hAnsi="Times New Roman" w:cs="Times New Roman"/>
            <w:sz w:val="16"/>
            <w:szCs w:val="16"/>
          </w:rPr>
        </w:pPr>
        <w:r>
          <w:rPr>
            <w:rFonts w:ascii="Times New Roman" w:hAnsi="Times New Roman" w:cs="Times New Roman"/>
            <w:sz w:val="16"/>
            <w:szCs w:val="16"/>
          </w:rPr>
          <w:t>Fundacja Inicjatyw Menedżerskich, ul. Żołnierzy Niepodległej 5/7, 20-078 Lublin</w:t>
        </w:r>
      </w:p>
      <w:p w:rsidR="00DC75FA" w:rsidRDefault="00887D84">
        <w:pPr>
          <w:pStyle w:val="Stopka"/>
          <w:jc w:val="center"/>
          <w:rPr>
            <w:rFonts w:ascii="Times New Roman" w:hAnsi="Times New Roman" w:cs="Times New Roman"/>
            <w:sz w:val="16"/>
            <w:szCs w:val="16"/>
            <w:lang w:val="en-US"/>
          </w:rPr>
        </w:pPr>
        <w:r>
          <w:rPr>
            <w:rFonts w:ascii="Times New Roman" w:hAnsi="Times New Roman" w:cs="Times New Roman"/>
            <w:sz w:val="16"/>
            <w:szCs w:val="16"/>
            <w:lang w:val="en-US"/>
          </w:rPr>
          <w:t>tel./fax: (+48) 81 532 14 25 ; tel.: (+48) 81 441 33 44 ; email: biuro@fim.org.pl</w:t>
        </w:r>
      </w:p>
      <w:p w:rsidR="00DC75FA" w:rsidRDefault="00A47575">
        <w:pPr>
          <w:pStyle w:val="Stopka"/>
          <w:jc w:val="center"/>
          <w:rPr>
            <w:rFonts w:ascii="Times New Roman" w:hAnsi="Times New Roman" w:cs="Times New Roman"/>
            <w:sz w:val="16"/>
            <w:szCs w:val="16"/>
            <w:lang w:val="en-US"/>
          </w:rPr>
        </w:pPr>
        <w:hyperlink r:id="rId1">
          <w:r w:rsidR="00887D84">
            <w:rPr>
              <w:rStyle w:val="czeinternetowe"/>
              <w:rFonts w:ascii="Times New Roman" w:hAnsi="Times New Roman" w:cs="Times New Roman"/>
              <w:sz w:val="16"/>
              <w:szCs w:val="16"/>
              <w:lang w:val="en-US"/>
            </w:rPr>
            <w:t>www.fim.org.pl</w:t>
          </w:r>
        </w:hyperlink>
      </w:p>
      <w:p w:rsidR="00DC75FA" w:rsidRDefault="00887D84">
        <w:pPr>
          <w:pStyle w:val="Stopka"/>
          <w:jc w:val="center"/>
          <w:rPr>
            <w:rFonts w:ascii="Times New Roman" w:hAnsi="Times New Roman" w:cs="Times New Roman"/>
            <w:sz w:val="16"/>
            <w:szCs w:val="16"/>
            <w:lang w:val="en-US"/>
          </w:rPr>
        </w:pPr>
        <w:r>
          <w:rPr>
            <w:rFonts w:ascii="Times New Roman" w:hAnsi="Times New Roman" w:cs="Times New Roman"/>
            <w:sz w:val="16"/>
            <w:szCs w:val="16"/>
            <w:lang w:val="en-US"/>
          </w:rPr>
          <w:t>NIP: 712-308-96-56 KRS: 0000290822</w:t>
        </w:r>
      </w:p>
      <w:p w:rsidR="00DC75FA" w:rsidRDefault="00887D84">
        <w:pPr>
          <w:pStyle w:val="Stopka"/>
          <w:jc w:val="center"/>
          <w:rPr>
            <w:rFonts w:cs="Times New Roman"/>
          </w:rPr>
        </w:pPr>
        <w:r>
          <w:rPr>
            <w:rFonts w:ascii="Times New Roman" w:hAnsi="Times New Roman" w:cs="Times New Roman"/>
            <w:sz w:val="16"/>
            <w:szCs w:val="16"/>
          </w:rPr>
          <w:t xml:space="preserve">Organ rejestrujący: Sąd Rejonowy Lublin – Wschód w Lublinie z siedzibą w Świdniku, </w:t>
        </w:r>
        <w:r>
          <w:rPr>
            <w:rFonts w:ascii="Times New Roman" w:hAnsi="Times New Roman" w:cs="Times New Roman"/>
            <w:sz w:val="16"/>
            <w:szCs w:val="16"/>
          </w:rPr>
          <w:br/>
          <w:t>VI Wydział Gospodarczy – Krajowy Rejestr Sądowy</w:t>
        </w:r>
      </w:p>
    </w:sdtContent>
  </w:sdt>
  <w:p w:rsidR="00DC75FA" w:rsidRDefault="00DC75FA">
    <w:pPr>
      <w:pStyle w:val="Stopka"/>
    </w:pPr>
  </w:p>
  <w:p w:rsidR="00DC75FA" w:rsidRDefault="00DC75F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88660"/>
      <w:docPartObj>
        <w:docPartGallery w:val="Page Numbers (Bottom of Page)"/>
        <w:docPartUnique/>
      </w:docPartObj>
    </w:sdtPr>
    <w:sdtEndPr/>
    <w:sdtContent>
      <w:p w:rsidR="00DC75FA" w:rsidRDefault="00887D84">
        <w:pPr>
          <w:pStyle w:val="Stopka"/>
          <w:jc w:val="center"/>
        </w:pPr>
        <w:r>
          <w:fldChar w:fldCharType="begin"/>
        </w:r>
        <w:r>
          <w:instrText>PAGE</w:instrText>
        </w:r>
        <w:r>
          <w:fldChar w:fldCharType="separate"/>
        </w:r>
        <w:r w:rsidR="00A47575">
          <w:rPr>
            <w:noProof/>
          </w:rPr>
          <w:t>68</w:t>
        </w:r>
        <w:r>
          <w:fldChar w:fldCharType="end"/>
        </w:r>
      </w:p>
      <w:p w:rsidR="00DC75FA" w:rsidRDefault="00A47575">
        <w:pPr>
          <w:pStyle w:val="Stopka"/>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DC75FA">
    <w:pPr>
      <w:pStyle w:val="Stopka"/>
      <w:jc w:val="center"/>
    </w:pPr>
  </w:p>
  <w:p w:rsidR="00DC75FA" w:rsidRDefault="00DC75FA">
    <w:pPr>
      <w:pStyle w:val="Stopk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221320"/>
      <w:docPartObj>
        <w:docPartGallery w:val="Page Numbers (Bottom of Page)"/>
        <w:docPartUnique/>
      </w:docPartObj>
    </w:sdtPr>
    <w:sdtEndPr/>
    <w:sdtContent>
      <w:p w:rsidR="00DC75FA" w:rsidRDefault="00887D84">
        <w:pPr>
          <w:pStyle w:val="Stopka"/>
          <w:pBdr>
            <w:top w:val="single" w:sz="4" w:space="1" w:color="000000"/>
          </w:pBdr>
          <w:jc w:val="center"/>
          <w:rPr>
            <w:rFonts w:ascii="Times New Roman" w:hAnsi="Times New Roman" w:cs="Times New Roman"/>
          </w:rPr>
        </w:pPr>
        <w:r>
          <w:rPr>
            <w:rFonts w:ascii="Times New Roman" w:hAnsi="Times New Roman" w:cs="Times New Roman"/>
          </w:rPr>
          <w:t>Fundacja Inicjatyw Menedżerskich, ul. Żołnierzy Niepodległej 5/7, 20-078 Lublin</w:t>
        </w:r>
      </w:p>
      <w:p w:rsidR="00DC75FA" w:rsidRDefault="00887D84">
        <w:pPr>
          <w:pStyle w:val="Stopka"/>
          <w:jc w:val="center"/>
          <w:rPr>
            <w:rFonts w:ascii="Times New Roman" w:hAnsi="Times New Roman" w:cs="Times New Roman"/>
            <w:lang w:val="en-US"/>
          </w:rPr>
        </w:pPr>
        <w:r>
          <w:rPr>
            <w:rFonts w:ascii="Times New Roman" w:hAnsi="Times New Roman" w:cs="Times New Roman"/>
            <w:lang w:val="en-US"/>
          </w:rPr>
          <w:t>tel./fax: (+48) 81 532 14 25 ; tel.: (+48) 81 441 33 44 ; email: biuro@fim.org.pl</w:t>
        </w:r>
      </w:p>
      <w:p w:rsidR="00DC75FA" w:rsidRDefault="00A47575">
        <w:pPr>
          <w:pStyle w:val="Stopka"/>
          <w:jc w:val="center"/>
          <w:rPr>
            <w:rFonts w:ascii="Times New Roman" w:hAnsi="Times New Roman" w:cs="Times New Roman"/>
            <w:lang w:val="en-US"/>
          </w:rPr>
        </w:pPr>
        <w:hyperlink r:id="rId1">
          <w:r w:rsidR="00887D84">
            <w:rPr>
              <w:rStyle w:val="czeinternetowe"/>
              <w:rFonts w:ascii="Times New Roman" w:hAnsi="Times New Roman" w:cs="Times New Roman"/>
              <w:lang w:val="en-US"/>
            </w:rPr>
            <w:t>www.fim.org.pl</w:t>
          </w:r>
        </w:hyperlink>
      </w:p>
      <w:p w:rsidR="00DC75FA" w:rsidRDefault="00887D84">
        <w:pPr>
          <w:pStyle w:val="Stopka"/>
          <w:jc w:val="center"/>
          <w:rPr>
            <w:rFonts w:ascii="Times New Roman" w:hAnsi="Times New Roman" w:cs="Times New Roman"/>
            <w:lang w:val="en-US"/>
          </w:rPr>
        </w:pPr>
        <w:r>
          <w:rPr>
            <w:rFonts w:ascii="Times New Roman" w:hAnsi="Times New Roman" w:cs="Times New Roman"/>
            <w:lang w:val="en-US"/>
          </w:rPr>
          <w:t>NIP: 712-308-96-56 KRS: 0000290822</w:t>
        </w:r>
      </w:p>
      <w:p w:rsidR="00DC75FA" w:rsidRDefault="00887D84">
        <w:pPr>
          <w:pStyle w:val="Stopka"/>
          <w:jc w:val="center"/>
          <w:rPr>
            <w:rFonts w:cs="Times New Roman"/>
          </w:rPr>
        </w:pPr>
        <w:r>
          <w:rPr>
            <w:rFonts w:ascii="Times New Roman" w:hAnsi="Times New Roman" w:cs="Times New Roman"/>
          </w:rPr>
          <w:t xml:space="preserve">Organ rejestrujący: Sąd Rejonowy Lublin – Wschód w Lublinie z siedzibą w Świdniku, </w:t>
        </w:r>
        <w:r>
          <w:rPr>
            <w:rFonts w:ascii="Times New Roman" w:hAnsi="Times New Roman" w:cs="Times New Roman"/>
          </w:rPr>
          <w:br/>
          <w:t>VI Wydział Gospodarczy – Krajowy Rejestr Sądowy</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474479"/>
      <w:docPartObj>
        <w:docPartGallery w:val="Page Numbers (Bottom of Page)"/>
        <w:docPartUnique/>
      </w:docPartObj>
    </w:sdtPr>
    <w:sdtEndPr/>
    <w:sdtContent>
      <w:p w:rsidR="00DC75FA" w:rsidRDefault="00887D84">
        <w:pPr>
          <w:pStyle w:val="Stopka"/>
          <w:jc w:val="center"/>
        </w:pPr>
        <w:r>
          <w:fldChar w:fldCharType="begin"/>
        </w:r>
        <w:r>
          <w:instrText>PAGE</w:instrText>
        </w:r>
        <w:r>
          <w:fldChar w:fldCharType="separate"/>
        </w:r>
        <w:r w:rsidR="00A47575">
          <w:rPr>
            <w:noProof/>
          </w:rPr>
          <w:t>63</w:t>
        </w:r>
        <w:r>
          <w:fldChar w:fldCharType="end"/>
        </w:r>
      </w:p>
      <w:p w:rsidR="00DC75FA" w:rsidRDefault="00A47575">
        <w:pPr>
          <w:pStyle w:val="Stopka"/>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944062"/>
      <w:docPartObj>
        <w:docPartGallery w:val="Page Numbers (Bottom of Page)"/>
        <w:docPartUnique/>
      </w:docPartObj>
    </w:sdtPr>
    <w:sdtEndPr/>
    <w:sdtContent>
      <w:p w:rsidR="00DC75FA" w:rsidRDefault="00887D84">
        <w:pPr>
          <w:pStyle w:val="Stopka"/>
          <w:jc w:val="center"/>
        </w:pPr>
        <w:r>
          <w:fldChar w:fldCharType="begin"/>
        </w:r>
        <w:r>
          <w:instrText>PAGE</w:instrText>
        </w:r>
        <w:r>
          <w:fldChar w:fldCharType="separate"/>
        </w:r>
        <w:r w:rsidR="00A47575">
          <w:rPr>
            <w:noProof/>
          </w:rPr>
          <w:t>66</w:t>
        </w:r>
        <w:r>
          <w:fldChar w:fldCharType="end"/>
        </w:r>
      </w:p>
      <w:p w:rsidR="00DC75FA" w:rsidRDefault="00A47575">
        <w:pPr>
          <w:pStyle w:val="Stopka"/>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116788"/>
      <w:docPartObj>
        <w:docPartGallery w:val="Page Numbers (Bottom of Page)"/>
        <w:docPartUnique/>
      </w:docPartObj>
    </w:sdtPr>
    <w:sdtEndPr/>
    <w:sdtContent>
      <w:p w:rsidR="00DC75FA" w:rsidRDefault="00887D84">
        <w:pPr>
          <w:pStyle w:val="Stopka"/>
          <w:jc w:val="center"/>
        </w:pPr>
        <w:r>
          <w:fldChar w:fldCharType="begin"/>
        </w:r>
        <w:r>
          <w:instrText>PAGE</w:instrText>
        </w:r>
        <w:r>
          <w:fldChar w:fldCharType="separate"/>
        </w:r>
        <w:r w:rsidR="00A47575">
          <w:rPr>
            <w:noProof/>
          </w:rPr>
          <w:t>67</w:t>
        </w:r>
        <w:r>
          <w:fldChar w:fldCharType="end"/>
        </w:r>
      </w:p>
      <w:p w:rsidR="00DC75FA" w:rsidRDefault="00A47575">
        <w:pPr>
          <w:pStyle w:val="Stopka"/>
          <w:jc w:val="cente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110935"/>
      <w:docPartObj>
        <w:docPartGallery w:val="Page Numbers (Bottom of Page)"/>
        <w:docPartUnique/>
      </w:docPartObj>
    </w:sdtPr>
    <w:sdtEndPr/>
    <w:sdtContent>
      <w:p w:rsidR="00DC75FA" w:rsidRDefault="00887D84">
        <w:pPr>
          <w:pStyle w:val="Stopka"/>
          <w:jc w:val="center"/>
        </w:pPr>
        <w:r>
          <w:fldChar w:fldCharType="begin"/>
        </w:r>
        <w:r>
          <w:instrText>PAGE</w:instrText>
        </w:r>
        <w:r>
          <w:fldChar w:fldCharType="separate"/>
        </w:r>
        <w:r w:rsidR="00A47575">
          <w:rPr>
            <w:noProof/>
          </w:rPr>
          <w:t>74</w:t>
        </w:r>
        <w:r>
          <w:fldChar w:fldCharType="end"/>
        </w:r>
      </w:p>
      <w:p w:rsidR="00DC75FA" w:rsidRDefault="00A47575">
        <w:pPr>
          <w:pStyle w:val="Stopka"/>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90B" w:rsidRDefault="006B590B">
      <w:r>
        <w:separator/>
      </w:r>
    </w:p>
  </w:footnote>
  <w:footnote w:type="continuationSeparator" w:id="0">
    <w:p w:rsidR="006B590B" w:rsidRDefault="006B590B">
      <w:r>
        <w:continuationSeparator/>
      </w:r>
    </w:p>
  </w:footnote>
  <w:footnote w:id="1">
    <w:p w:rsidR="00DC75FA" w:rsidRDefault="00887D84">
      <w:pPr>
        <w:pStyle w:val="Tekstprzypisudolnego"/>
      </w:pPr>
      <w:r>
        <w:rPr>
          <w:rStyle w:val="Znakiprzypiswdolnych"/>
        </w:rPr>
        <w:footnoteRef/>
      </w:r>
      <w:r>
        <w:t xml:space="preserve"> Projekt Umowy Partnerstwa dla realizacji polityki spójności 2021-2027 w Polsce,  Ministerstwo Funduszy i Polityki Regionalnej, Warszawa styczeń 2021; źródło internetowe: </w:t>
      </w:r>
      <w:hyperlink r:id="rId1">
        <w:r>
          <w:rPr>
            <w:rStyle w:val="czeinternetowe"/>
          </w:rPr>
          <w:t>https://www.funduszeeuropejskie.gov.pl/</w:t>
        </w:r>
        <w:r>
          <w:rPr>
            <w:rStyle w:val="czeinternetowe"/>
          </w:rPr>
          <w:br/>
          <w:t>„strony/o-funduszach/fundusze-na-lata-2021-2027/konsultacje-up/o-funduszach/</w:t>
        </w:r>
      </w:hyperlink>
      <w:r>
        <w:t xml:space="preserve"> </w:t>
      </w:r>
    </w:p>
  </w:footnote>
  <w:footnote w:id="2">
    <w:p w:rsidR="00DC75FA" w:rsidRDefault="00887D84">
      <w:pPr>
        <w:pStyle w:val="Tekstprzypisudolnego"/>
        <w:jc w:val="both"/>
      </w:pPr>
      <w:r>
        <w:rPr>
          <w:rStyle w:val="Znakiprzypiswdolnych"/>
        </w:rPr>
        <w:footnoteRef/>
      </w:r>
      <w:r>
        <w:t xml:space="preserve"> </w:t>
      </w:r>
      <w:r>
        <w:rPr>
          <w:rFonts w:ascii="Times New Roman" w:hAnsi="Times New Roman" w:cs="Times New Roman"/>
        </w:rPr>
        <w:t>Skrótu GOZ  używa się w odniesieniu do gospodarki o obiegu zamkniętym. Gospodarka o obiegu zamkniętym (</w:t>
      </w:r>
      <w:proofErr w:type="spellStart"/>
      <w:r>
        <w:rPr>
          <w:rFonts w:ascii="Times New Roman" w:hAnsi="Times New Roman" w:cs="Times New Roman"/>
        </w:rPr>
        <w:t>circular</w:t>
      </w:r>
      <w:proofErr w:type="spellEnd"/>
      <w:r>
        <w:rPr>
          <w:rFonts w:ascii="Times New Roman" w:hAnsi="Times New Roman" w:cs="Times New Roman"/>
        </w:rPr>
        <w:t xml:space="preserve"> </w:t>
      </w:r>
      <w:proofErr w:type="spellStart"/>
      <w:r>
        <w:rPr>
          <w:rFonts w:ascii="Times New Roman" w:hAnsi="Times New Roman" w:cs="Times New Roman"/>
        </w:rPr>
        <w:t>economy</w:t>
      </w:r>
      <w:proofErr w:type="spellEnd"/>
      <w:r>
        <w:rPr>
          <w:rFonts w:ascii="Times New Roman" w:hAnsi="Times New Roman" w:cs="Times New Roman"/>
        </w:rPr>
        <w:t xml:space="preserve">) jest koncepcją gospodarczą, w której produkty, materiały oraz surowce powinny pozostawać w gospodarce tak długo, jak jest to możliwe, a wytwarzanie odpadów powinno być jak najbardziej zminimalizowane. Idea ta uwzględnia wszystkie etapy cyklu życia produktu, zaczynając od jego projektowania, poprzez produkcję, konsumpcję, zbieranie odpadów, aż do ich zagospodarowania. Mówimy zatem o odejściu od gospodarki linearnej, opierającej się na zasadzie „weź – wyprodukuj – zużyj – wyrzuć”, w której odpady często traktowane są jako ostatni etap cyklu życia. W gospodarce o obiegu zamkniętym istotne jest to, żeby odpady – jeżeli już powstaną – były traktowane jako surowce wtórne. Temu mają służyć wszystkie działania poprzedzające powstanie odpadów. Jednocześnie, podejście gospodarki o obiegu zamkniętym, realizowane np. w odniesieniu do projektowania produktów czy do procesów produkcyjnych ma na celu zwiększenie innowacyjności europejskich przedsiębiorców oraz podniesienie ich konkurencyjności w stosunku do podmiotów z innych części świata. Więcej: </w:t>
      </w:r>
      <w:hyperlink r:id="rId2">
        <w:r>
          <w:rPr>
            <w:rStyle w:val="czeinternetowe"/>
            <w:rFonts w:ascii="Times New Roman" w:hAnsi="Times New Roman" w:cs="Times New Roman"/>
          </w:rPr>
          <w:t>https://www.gov.pl/web/rozwoj-praca-technologia/gospodarka-o-obiegu-zamknietym</w:t>
        </w:r>
      </w:hyperlink>
      <w:r>
        <w:rPr>
          <w:rFonts w:ascii="Times New Roman" w:hAnsi="Times New Roman" w:cs="Times New Roman"/>
        </w:rPr>
        <w:t xml:space="preserve"> </w:t>
      </w:r>
    </w:p>
  </w:footnote>
  <w:footnote w:id="3">
    <w:p w:rsidR="00DC75FA" w:rsidRDefault="00887D84">
      <w:pPr>
        <w:pStyle w:val="aaardo"/>
      </w:pPr>
      <w:r>
        <w:rPr>
          <w:rStyle w:val="Znakiprzypiswdolnych"/>
        </w:rPr>
        <w:footnoteRef/>
      </w:r>
      <w:r>
        <w:t xml:space="preserve"> Źródło: </w:t>
      </w:r>
      <w:hyperlink r:id="rId3">
        <w:r>
          <w:rPr>
            <w:rStyle w:val="czeinternetowe"/>
            <w:color w:val="auto"/>
          </w:rPr>
          <w:t>https://krkgw.arimr.gov.pl</w:t>
        </w:r>
      </w:hyperlink>
      <w:r>
        <w:t xml:space="preserve"> [dostęp w dn. 24.10.2020 r.]</w:t>
      </w:r>
    </w:p>
  </w:footnote>
  <w:footnote w:id="4">
    <w:p w:rsidR="00DC75FA" w:rsidRDefault="00887D84">
      <w:pPr>
        <w:pStyle w:val="Tekstprzypisudolnego"/>
      </w:pPr>
      <w:r>
        <w:rPr>
          <w:rStyle w:val="Znakiprzypiswdolnych"/>
        </w:rPr>
        <w:footnoteRef/>
      </w:r>
      <w:r>
        <w:rPr>
          <w:rFonts w:ascii="Times New Roman" w:hAnsi="Times New Roman" w:cs="Times New Roman"/>
        </w:rPr>
        <w:t> Powszechnym Spisem Rolnym 2010 zostały objęte gospodarstwa rolne osób fizycznych i prawnych oraz jednostek organizacyjnych nie mających osobowości prawnej. Ogółem w Powszechnym Spisie Rolnym 2010 badaniem objętych zostało ok. 1,8 mln podmiotów.</w:t>
      </w:r>
    </w:p>
  </w:footnote>
  <w:footnote w:id="5">
    <w:p w:rsidR="00DC75FA" w:rsidRDefault="00887D84">
      <w:pPr>
        <w:pStyle w:val="Tekstprzypisudolnego"/>
      </w:pPr>
      <w:r>
        <w:rPr>
          <w:rStyle w:val="Znakiprzypiswdolnych"/>
        </w:rPr>
        <w:footnoteRef/>
      </w:r>
      <w:r>
        <w:t xml:space="preserve"> Matuszkiewicz J. M., 1993, Krajobrazy roślinne i regiony geobotaniczne Polski. Prace Geograficzne 158, s. 5–107. </w:t>
      </w:r>
    </w:p>
  </w:footnote>
  <w:footnote w:id="6">
    <w:p w:rsidR="00DC75FA" w:rsidRDefault="00887D84">
      <w:pPr>
        <w:pStyle w:val="Tekstprzypisudolnego"/>
      </w:pPr>
      <w:r>
        <w:rPr>
          <w:rStyle w:val="Znakiprzypiswdolnych"/>
        </w:rPr>
        <w:footnoteRef/>
      </w:r>
      <w:r>
        <w:t xml:space="preserve"> Harasimiuk M., Dobrowolski R., Rodzik J., 2002, Budowa geologiczna i rzeźba terenu Poleskiego Parku Narodowego, W: S. Radwan (red.) Poleski Park Narodowy. Monografia przyrodnicza. </w:t>
      </w:r>
      <w:proofErr w:type="spellStart"/>
      <w:r>
        <w:t>Morpol</w:t>
      </w:r>
      <w:proofErr w:type="spellEnd"/>
      <w:r>
        <w:t>, Lublin, s. 29–42.</w:t>
      </w:r>
    </w:p>
  </w:footnote>
  <w:footnote w:id="7">
    <w:p w:rsidR="00DC75FA" w:rsidRDefault="00887D84">
      <w:pPr>
        <w:pStyle w:val="Tekstprzypisudolnego"/>
      </w:pPr>
      <w:r>
        <w:rPr>
          <w:rStyle w:val="Znakiprzypiswdolnych"/>
        </w:rPr>
        <w:footnoteRef/>
      </w:r>
      <w:r>
        <w:t xml:space="preserve"> Ustawa z dnia 12 marca 2004 r. o pomocy społecznej (Dz.U.2019.1507 </w:t>
      </w:r>
      <w:proofErr w:type="spellStart"/>
      <w:r>
        <w:t>t.j</w:t>
      </w:r>
      <w:proofErr w:type="spellEnd"/>
      <w:r>
        <w:t xml:space="preserve">., z </w:t>
      </w:r>
      <w:proofErr w:type="spellStart"/>
      <w:r>
        <w:t>późn</w:t>
      </w:r>
      <w:proofErr w:type="spellEnd"/>
      <w:r>
        <w:t>. zm.).</w:t>
      </w:r>
    </w:p>
  </w:footnote>
  <w:footnote w:id="8">
    <w:p w:rsidR="00DC75FA" w:rsidRDefault="00887D84">
      <w:pPr>
        <w:pStyle w:val="Tekstprzypisudolnego"/>
      </w:pPr>
      <w:r>
        <w:rPr>
          <w:rStyle w:val="Znakiprzypiswdolnych"/>
        </w:rPr>
        <w:footnoteRef/>
      </w:r>
      <w:r>
        <w:rPr>
          <w:rFonts w:cs="Times New Roman"/>
        </w:rPr>
        <w:t> </w:t>
      </w:r>
      <w:r>
        <w:rPr>
          <w:rFonts w:ascii="Times New Roman" w:hAnsi="Times New Roman" w:cs="Times New Roman"/>
        </w:rPr>
        <w:t>Powszechnym Spisem Rolnym 2010 zostały objęte gospodarstwa rolne osób fizycznych i prawnych oraz jednostek organizacyjnych nie mających osobowości prawnej. Ogółem w Powszechnym Spisie Rolnym 2010 badaniem objętych zostało ok. 1,8 mln podmiotów.</w:t>
      </w:r>
    </w:p>
  </w:footnote>
  <w:footnote w:id="9">
    <w:p w:rsidR="00DC75FA" w:rsidRDefault="00887D84">
      <w:pPr>
        <w:pStyle w:val="Tekstprzypisudolnego"/>
      </w:pPr>
      <w:r>
        <w:rPr>
          <w:rStyle w:val="Znakiprzypiswdolnych"/>
        </w:rPr>
        <w:footnoteRef/>
      </w:r>
      <w:r>
        <w:t xml:space="preserve">Ustawa z dnia 12 marca 2004 r. o pomocy społecznej (Dz.U.2019.1507 </w:t>
      </w:r>
      <w:proofErr w:type="spellStart"/>
      <w:r>
        <w:t>t.j</w:t>
      </w:r>
      <w:proofErr w:type="spellEnd"/>
      <w:r>
        <w:t xml:space="preserve">., z </w:t>
      </w:r>
      <w:proofErr w:type="spellStart"/>
      <w:r>
        <w:t>późn</w:t>
      </w:r>
      <w:proofErr w:type="spellEnd"/>
      <w:r>
        <w:t>.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DC75F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887D84">
    <w:pPr>
      <w:pStyle w:val="Nagwek"/>
      <w:ind w:left="142" w:hanging="142"/>
    </w:pPr>
    <w:r>
      <w:rPr>
        <w:noProof/>
        <w:lang w:eastAsia="pl-PL"/>
      </w:rPr>
      <w:drawing>
        <wp:inline distT="0" distB="0" distL="0" distR="0">
          <wp:extent cx="6772910" cy="1133475"/>
          <wp:effectExtent l="0" t="0" r="0" b="0"/>
          <wp:docPr id="7"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9"/>
                  <pic:cNvPicPr>
                    <a:picLocks noChangeAspect="1" noChangeArrowheads="1"/>
                  </pic:cNvPicPr>
                </pic:nvPicPr>
                <pic:blipFill>
                  <a:blip r:embed="rId1"/>
                  <a:stretch>
                    <a:fillRect/>
                  </a:stretch>
                </pic:blipFill>
                <pic:spPr bwMode="auto">
                  <a:xfrm>
                    <a:off x="0" y="0"/>
                    <a:ext cx="6772910" cy="1133475"/>
                  </a:xfrm>
                  <a:prstGeom prst="rect">
                    <a:avLst/>
                  </a:prstGeom>
                </pic:spPr>
              </pic:pic>
            </a:graphicData>
          </a:graphic>
        </wp:inline>
      </w:drawing>
    </w:r>
  </w:p>
  <w:p w:rsidR="00DC75FA" w:rsidRDefault="00DC75F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DC75FA">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DC75FA">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887D84">
    <w:pPr>
      <w:pBdr>
        <w:top w:val="single" w:sz="4" w:space="1" w:color="000000"/>
        <w:bottom w:val="single" w:sz="4" w:space="1" w:color="000000"/>
      </w:pBdr>
      <w:rPr>
        <w:b/>
      </w:rPr>
    </w:pPr>
    <w:r>
      <w:rPr>
        <w:b/>
        <w:noProof/>
        <w:lang w:eastAsia="pl-PL"/>
      </w:rPr>
      <w:drawing>
        <wp:anchor distT="0" distB="0" distL="114935" distR="114935" simplePos="0" relativeHeight="5" behindDoc="0" locked="0" layoutInCell="1" allowOverlap="1">
          <wp:simplePos x="0" y="0"/>
          <wp:positionH relativeFrom="column">
            <wp:posOffset>2453005</wp:posOffset>
          </wp:positionH>
          <wp:positionV relativeFrom="paragraph">
            <wp:posOffset>255905</wp:posOffset>
          </wp:positionV>
          <wp:extent cx="793750" cy="720090"/>
          <wp:effectExtent l="0" t="0" r="0" b="0"/>
          <wp:wrapTight wrapText="bothSides">
            <wp:wrapPolygon edited="0">
              <wp:start x="-151" y="0"/>
              <wp:lineTo x="-151" y="21020"/>
              <wp:lineTo x="21261" y="21020"/>
              <wp:lineTo x="21261" y="0"/>
              <wp:lineTo x="-151" y="0"/>
            </wp:wrapPolygon>
          </wp:wrapTight>
          <wp:docPr id="40" name="Obra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6"/>
                  <pic:cNvPicPr>
                    <a:picLocks noChangeAspect="1" noChangeArrowheads="1"/>
                  </pic:cNvPicPr>
                </pic:nvPicPr>
                <pic:blipFill>
                  <a:blip r:embed="rId1"/>
                  <a:stretch>
                    <a:fillRect/>
                  </a:stretch>
                </pic:blipFill>
                <pic:spPr bwMode="auto">
                  <a:xfrm>
                    <a:off x="0" y="0"/>
                    <a:ext cx="793750" cy="720090"/>
                  </a:xfrm>
                  <a:prstGeom prst="rect">
                    <a:avLst/>
                  </a:prstGeom>
                </pic:spPr>
              </pic:pic>
            </a:graphicData>
          </a:graphic>
        </wp:anchor>
      </w:drawing>
    </w:r>
  </w:p>
  <w:p w:rsidR="00DC75FA" w:rsidRDefault="00DC75FA">
    <w:pPr>
      <w:pBdr>
        <w:top w:val="single" w:sz="4" w:space="1" w:color="000000"/>
        <w:bottom w:val="single" w:sz="4" w:space="1" w:color="000000"/>
      </w:pBdr>
      <w:jc w:val="center"/>
      <w:rPr>
        <w:b/>
        <w:sz w:val="10"/>
      </w:rPr>
    </w:pPr>
  </w:p>
  <w:p w:rsidR="00DC75FA" w:rsidRDefault="00DC75FA">
    <w:pPr>
      <w:pBdr>
        <w:top w:val="single" w:sz="4" w:space="1" w:color="000000"/>
        <w:bottom w:val="single" w:sz="4" w:space="1" w:color="000000"/>
      </w:pBdr>
      <w:jc w:val="center"/>
      <w:rPr>
        <w:b/>
      </w:rPr>
    </w:pPr>
  </w:p>
  <w:p w:rsidR="00DC75FA" w:rsidRDefault="00DC75FA">
    <w:pPr>
      <w:pBdr>
        <w:top w:val="single" w:sz="4" w:space="1" w:color="000000"/>
        <w:bottom w:val="single" w:sz="4" w:space="1" w:color="000000"/>
      </w:pBdr>
      <w:jc w:val="center"/>
      <w:rPr>
        <w:b/>
        <w:sz w:val="28"/>
        <w:szCs w:val="28"/>
      </w:rPr>
    </w:pPr>
  </w:p>
  <w:p w:rsidR="00DC75FA" w:rsidRDefault="00887D84">
    <w:pPr>
      <w:pBdr>
        <w:top w:val="single" w:sz="4" w:space="1" w:color="000000"/>
        <w:bottom w:val="single" w:sz="4" w:space="1" w:color="000000"/>
      </w:pBdr>
      <w:jc w:val="center"/>
      <w:rPr>
        <w:b/>
        <w:sz w:val="28"/>
        <w:szCs w:val="28"/>
      </w:rPr>
    </w:pPr>
    <w:r>
      <w:rPr>
        <w:b/>
        <w:sz w:val="28"/>
        <w:szCs w:val="28"/>
      </w:rPr>
      <w:t>FUNDACJA INICJATYW MENEDŻERSKICH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DC75FA">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DC75FA">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DC75FA">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5FA" w:rsidRDefault="00DC75F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0DB2"/>
    <w:multiLevelType w:val="multilevel"/>
    <w:tmpl w:val="43E61BEA"/>
    <w:lvl w:ilvl="0">
      <w:start w:val="1"/>
      <w:numFmt w:val="bullet"/>
      <w:lvlText w:val=""/>
      <w:lvlJc w:val="left"/>
      <w:pPr>
        <w:ind w:left="360" w:hanging="360"/>
      </w:pPr>
      <w:rPr>
        <w:rFonts w:ascii="Symbol" w:hAnsi="Symbol" w:cs="Symbol" w:hint="default"/>
        <w:color w:val="00000A"/>
        <w:sz w:val="22"/>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162C25"/>
    <w:multiLevelType w:val="multilevel"/>
    <w:tmpl w:val="6D12ABD0"/>
    <w:lvl w:ilvl="0">
      <w:start w:val="1"/>
      <w:numFmt w:val="upperRoman"/>
      <w:lvlText w:val="%1."/>
      <w:lvlJc w:val="right"/>
      <w:pPr>
        <w:ind w:left="360" w:hanging="360"/>
      </w:pPr>
    </w:lvl>
    <w:lvl w:ilvl="1">
      <w:start w:val="1"/>
      <w:numFmt w:val="decimal"/>
      <w:lvlText w:val="%2."/>
      <w:lvlJc w:val="left"/>
      <w:pPr>
        <w:ind w:left="1080" w:hanging="360"/>
      </w:pPr>
    </w:lvl>
    <w:lvl w:ilvl="2">
      <w:start w:val="1"/>
      <w:numFmt w:val="decimal"/>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A0C1B85"/>
    <w:multiLevelType w:val="multilevel"/>
    <w:tmpl w:val="0DCEDB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A5D4DA0"/>
    <w:multiLevelType w:val="multilevel"/>
    <w:tmpl w:val="8A64A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2841C4"/>
    <w:multiLevelType w:val="multilevel"/>
    <w:tmpl w:val="8B2A38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C30440A"/>
    <w:multiLevelType w:val="multilevel"/>
    <w:tmpl w:val="EE48C0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E6C7CA1"/>
    <w:multiLevelType w:val="multilevel"/>
    <w:tmpl w:val="04A0D5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0192FEF"/>
    <w:multiLevelType w:val="multilevel"/>
    <w:tmpl w:val="230623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18302F3"/>
    <w:multiLevelType w:val="multilevel"/>
    <w:tmpl w:val="B63A6FBC"/>
    <w:lvl w:ilvl="0">
      <w:start w:val="1"/>
      <w:numFmt w:val="decimal"/>
      <w:lvlText w:val="%1)"/>
      <w:lvlJc w:val="left"/>
      <w:pPr>
        <w:ind w:left="360" w:hanging="360"/>
      </w:pPr>
    </w:lvl>
    <w:lvl w:ilvl="1">
      <w:start w:val="1"/>
      <w:numFmt w:val="bullet"/>
      <w:lvlText w:val=""/>
      <w:lvlJc w:val="left"/>
      <w:pPr>
        <w:ind w:left="720" w:hanging="360"/>
      </w:pPr>
      <w:rPr>
        <w:rFonts w:ascii="Symbol" w:hAnsi="Symbol" w:cs="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19355B5"/>
    <w:multiLevelType w:val="multilevel"/>
    <w:tmpl w:val="9878BF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13857B8F"/>
    <w:multiLevelType w:val="multilevel"/>
    <w:tmpl w:val="CE6A4F72"/>
    <w:lvl w:ilvl="0">
      <w:start w:val="1"/>
      <w:numFmt w:val="upperRoman"/>
      <w:lvlText w:val="%1."/>
      <w:lvlJc w:val="right"/>
      <w:pPr>
        <w:ind w:left="360" w:hanging="360"/>
      </w:pPr>
    </w:lvl>
    <w:lvl w:ilvl="1">
      <w:start w:val="1"/>
      <w:numFmt w:val="decimal"/>
      <w:lvlText w:val="%2."/>
      <w:lvlJc w:val="left"/>
      <w:pPr>
        <w:ind w:left="1080" w:hanging="360"/>
      </w:pPr>
    </w:lvl>
    <w:lvl w:ilvl="2">
      <w:start w:val="1"/>
      <w:numFmt w:val="decimal"/>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976063A"/>
    <w:multiLevelType w:val="multilevel"/>
    <w:tmpl w:val="24BA7C9E"/>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nsid w:val="1EDF7B17"/>
    <w:multiLevelType w:val="multilevel"/>
    <w:tmpl w:val="F10AA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F1F1F3A"/>
    <w:multiLevelType w:val="multilevel"/>
    <w:tmpl w:val="6C1CCC70"/>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1FD56AC7"/>
    <w:multiLevelType w:val="multilevel"/>
    <w:tmpl w:val="459C05CA"/>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21C07DAB"/>
    <w:multiLevelType w:val="multilevel"/>
    <w:tmpl w:val="DA489E6E"/>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22C2249"/>
    <w:multiLevelType w:val="multilevel"/>
    <w:tmpl w:val="12580A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277E48BA"/>
    <w:multiLevelType w:val="multilevel"/>
    <w:tmpl w:val="97A4DF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281442B2"/>
    <w:multiLevelType w:val="multilevel"/>
    <w:tmpl w:val="BAB8AED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9850A75"/>
    <w:multiLevelType w:val="multilevel"/>
    <w:tmpl w:val="BEF2C814"/>
    <w:lvl w:ilvl="0">
      <w:start w:val="1"/>
      <w:numFmt w:val="bullet"/>
      <w:lvlText w:val=""/>
      <w:lvlJc w:val="left"/>
      <w:pPr>
        <w:ind w:left="720" w:hanging="360"/>
      </w:pPr>
      <w:rPr>
        <w:rFonts w:ascii="Wingdings" w:hAnsi="Wingdings" w:cs="Wingdings" w:hint="default"/>
      </w:rPr>
    </w:lvl>
    <w:lvl w:ilvl="1">
      <w:start w:val="8"/>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2B9A5D8F"/>
    <w:multiLevelType w:val="multilevel"/>
    <w:tmpl w:val="1A0CB50C"/>
    <w:lvl w:ilvl="0">
      <w:start w:val="1"/>
      <w:numFmt w:val="bullet"/>
      <w:lvlText w:val="-"/>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30ED41DB"/>
    <w:multiLevelType w:val="multilevel"/>
    <w:tmpl w:val="776261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3226114E"/>
    <w:multiLevelType w:val="multilevel"/>
    <w:tmpl w:val="1C10D550"/>
    <w:lvl w:ilvl="0">
      <w:start w:val="1"/>
      <w:numFmt w:val="bullet"/>
      <w:lvlText w:val=""/>
      <w:lvlJc w:val="left"/>
      <w:pPr>
        <w:ind w:left="360" w:hanging="360"/>
      </w:pPr>
      <w:rPr>
        <w:rFonts w:ascii="Symbol" w:hAnsi="Symbol" w:cs="Symbol" w:hint="default"/>
        <w:color w:val="00000A"/>
        <w:sz w:val="22"/>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7BF569A"/>
    <w:multiLevelType w:val="multilevel"/>
    <w:tmpl w:val="1B444E4C"/>
    <w:lvl w:ilvl="0">
      <w:start w:val="1"/>
      <w:numFmt w:val="upperRoman"/>
      <w:lvlText w:val="%1."/>
      <w:lvlJc w:val="right"/>
      <w:pPr>
        <w:ind w:left="360" w:hanging="360"/>
      </w:pPr>
    </w:lvl>
    <w:lvl w:ilvl="1">
      <w:start w:val="1"/>
      <w:numFmt w:val="decimal"/>
      <w:lvlText w:val="%2."/>
      <w:lvlJc w:val="left"/>
      <w:pPr>
        <w:ind w:left="1080" w:hanging="360"/>
      </w:pPr>
    </w:lvl>
    <w:lvl w:ilvl="2">
      <w:start w:val="1"/>
      <w:numFmt w:val="decimal"/>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387E0BD1"/>
    <w:multiLevelType w:val="multilevel"/>
    <w:tmpl w:val="07385E06"/>
    <w:lvl w:ilvl="0">
      <w:start w:val="1"/>
      <w:numFmt w:val="bullet"/>
      <w:lvlText w:val=""/>
      <w:lvlJc w:val="left"/>
      <w:pPr>
        <w:ind w:left="360" w:hanging="360"/>
      </w:pPr>
      <w:rPr>
        <w:rFonts w:ascii="Symbol" w:hAnsi="Symbol" w:cs="Symbol" w:hint="default"/>
        <w:color w:val="00000A"/>
        <w:sz w:val="22"/>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9744F2F"/>
    <w:multiLevelType w:val="multilevel"/>
    <w:tmpl w:val="159E9A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3A4B7D0E"/>
    <w:multiLevelType w:val="multilevel"/>
    <w:tmpl w:val="9946B1B8"/>
    <w:lvl w:ilvl="0">
      <w:start w:val="1"/>
      <w:numFmt w:val="bullet"/>
      <w:lvlText w:val=""/>
      <w:lvlJc w:val="left"/>
      <w:pPr>
        <w:ind w:left="360" w:hanging="360"/>
      </w:pPr>
      <w:rPr>
        <w:rFonts w:ascii="Symbol" w:hAnsi="Symbol" w:cs="Symbol" w:hint="default"/>
        <w:color w:val="5B9BD5"/>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
    <w:nsid w:val="3DA94E5B"/>
    <w:multiLevelType w:val="multilevel"/>
    <w:tmpl w:val="6F36F076"/>
    <w:lvl w:ilvl="0">
      <w:start w:val="1"/>
      <w:numFmt w:val="bullet"/>
      <w:lvlText w:val=""/>
      <w:lvlJc w:val="left"/>
      <w:pPr>
        <w:ind w:left="360" w:hanging="360"/>
      </w:pPr>
      <w:rPr>
        <w:rFonts w:ascii="Symbol" w:hAnsi="Symbol" w:cs="Symbol" w:hint="default"/>
        <w:color w:val="00000A"/>
        <w:sz w:val="22"/>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ECD6EB3"/>
    <w:multiLevelType w:val="multilevel"/>
    <w:tmpl w:val="4560DD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06F29BD"/>
    <w:multiLevelType w:val="multilevel"/>
    <w:tmpl w:val="F3AA54C0"/>
    <w:lvl w:ilvl="0">
      <w:start w:val="1"/>
      <w:numFmt w:val="bullet"/>
      <w:lvlText w:val=""/>
      <w:lvlJc w:val="left"/>
      <w:pPr>
        <w:ind w:left="360" w:hanging="360"/>
      </w:pPr>
      <w:rPr>
        <w:rFonts w:ascii="Symbol" w:hAnsi="Symbol" w:cs="Symbol" w:hint="default"/>
        <w:color w:val="5B9BD5"/>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
    <w:nsid w:val="40E430B9"/>
    <w:multiLevelType w:val="multilevel"/>
    <w:tmpl w:val="DF5417FC"/>
    <w:lvl w:ilvl="0">
      <w:start w:val="1"/>
      <w:numFmt w:val="upperRoman"/>
      <w:lvlText w:val="%1."/>
      <w:lvlJc w:val="right"/>
      <w:pPr>
        <w:ind w:left="360" w:hanging="360"/>
      </w:pPr>
    </w:lvl>
    <w:lvl w:ilvl="1">
      <w:start w:val="1"/>
      <w:numFmt w:val="decimal"/>
      <w:lvlText w:val="%2."/>
      <w:lvlJc w:val="left"/>
      <w:pPr>
        <w:ind w:left="1080" w:hanging="360"/>
      </w:pPr>
    </w:lvl>
    <w:lvl w:ilvl="2">
      <w:start w:val="1"/>
      <w:numFmt w:val="decimal"/>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nsid w:val="42685183"/>
    <w:multiLevelType w:val="multilevel"/>
    <w:tmpl w:val="C3F06F88"/>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b/>
        <w:color w:val="5B9BD5"/>
        <w:sz w:val="24"/>
      </w:rPr>
    </w:lvl>
    <w:lvl w:ilvl="2">
      <w:start w:val="1"/>
      <w:numFmt w:val="decimal"/>
      <w:lvlText w:val="%1.%2.%3."/>
      <w:lvlJc w:val="left"/>
      <w:pPr>
        <w:ind w:left="1224" w:hanging="504"/>
      </w:pPr>
      <w:rPr>
        <w:rFonts w:ascii="Times New Roman" w:hAnsi="Times New Roman"/>
        <w:b/>
        <w:color w:val="5B9BD5"/>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58C51DA"/>
    <w:multiLevelType w:val="multilevel"/>
    <w:tmpl w:val="B310FB0A"/>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6696B6F"/>
    <w:multiLevelType w:val="multilevel"/>
    <w:tmpl w:val="C09A6CE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
    <w:nsid w:val="57A64672"/>
    <w:multiLevelType w:val="multilevel"/>
    <w:tmpl w:val="A534680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5">
    <w:nsid w:val="57F230BD"/>
    <w:multiLevelType w:val="multilevel"/>
    <w:tmpl w:val="DE1EE52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6">
    <w:nsid w:val="58DD59D8"/>
    <w:multiLevelType w:val="multilevel"/>
    <w:tmpl w:val="F202CD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594047CE"/>
    <w:multiLevelType w:val="multilevel"/>
    <w:tmpl w:val="FCAE2E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720C8"/>
    <w:multiLevelType w:val="multilevel"/>
    <w:tmpl w:val="7F34812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39">
    <w:nsid w:val="5C9D430F"/>
    <w:multiLevelType w:val="multilevel"/>
    <w:tmpl w:val="A820403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5DF13B2C"/>
    <w:multiLevelType w:val="multilevel"/>
    <w:tmpl w:val="A2040234"/>
    <w:lvl w:ilvl="0">
      <w:start w:val="1"/>
      <w:numFmt w:val="decimal"/>
      <w:lvlText w:val="%1)"/>
      <w:lvlJc w:val="left"/>
      <w:pPr>
        <w:ind w:left="360" w:hanging="360"/>
      </w:pPr>
    </w:lvl>
    <w:lvl w:ilvl="1">
      <w:start w:val="1"/>
      <w:numFmt w:val="bullet"/>
      <w:lvlText w:val="-"/>
      <w:lvlJc w:val="left"/>
      <w:pPr>
        <w:ind w:left="720" w:hanging="360"/>
      </w:pPr>
      <w:rPr>
        <w:rFonts w:ascii="Sylfaen" w:hAnsi="Sylfaen" w:cs="Sylfae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E7442DF"/>
    <w:multiLevelType w:val="multilevel"/>
    <w:tmpl w:val="2BC0D2CA"/>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1080" w:hanging="360"/>
      </w:pPr>
      <w:rPr>
        <w:rFonts w:ascii="Symbol" w:hAnsi="Symbol" w:cs="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64444A8F"/>
    <w:multiLevelType w:val="multilevel"/>
    <w:tmpl w:val="1F5E9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5791697"/>
    <w:multiLevelType w:val="multilevel"/>
    <w:tmpl w:val="BA280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6F8087E"/>
    <w:multiLevelType w:val="multilevel"/>
    <w:tmpl w:val="127CA6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67602DBF"/>
    <w:multiLevelType w:val="multilevel"/>
    <w:tmpl w:val="580C1AC6"/>
    <w:lvl w:ilvl="0">
      <w:start w:val="1"/>
      <w:numFmt w:val="upperRoman"/>
      <w:lvlText w:val="%1."/>
      <w:lvlJc w:val="right"/>
      <w:pPr>
        <w:ind w:left="360" w:hanging="360"/>
      </w:pPr>
    </w:lvl>
    <w:lvl w:ilvl="1">
      <w:start w:val="1"/>
      <w:numFmt w:val="decimal"/>
      <w:lvlText w:val="%2."/>
      <w:lvlJc w:val="left"/>
      <w:pPr>
        <w:ind w:left="1080" w:hanging="360"/>
      </w:pPr>
    </w:lvl>
    <w:lvl w:ilvl="2">
      <w:start w:val="1"/>
      <w:numFmt w:val="decimal"/>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67E225F3"/>
    <w:multiLevelType w:val="multilevel"/>
    <w:tmpl w:val="1B4EDD94"/>
    <w:lvl w:ilvl="0">
      <w:start w:val="1"/>
      <w:numFmt w:val="decimal"/>
      <w:lvlText w:val="%1)"/>
      <w:lvlJc w:val="left"/>
      <w:pPr>
        <w:ind w:left="360" w:hanging="360"/>
      </w:pPr>
      <w:rPr>
        <w:rFonts w:ascii="Times New Roman" w:hAnsi="Times New Roman"/>
        <w:b/>
        <w:color w:val="5B9BD5"/>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nsid w:val="69D71C81"/>
    <w:multiLevelType w:val="multilevel"/>
    <w:tmpl w:val="754C51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nsid w:val="6C055875"/>
    <w:multiLevelType w:val="multilevel"/>
    <w:tmpl w:val="786AE6D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
    <w:nsid w:val="6D262397"/>
    <w:multiLevelType w:val="multilevel"/>
    <w:tmpl w:val="3E603B0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6E8362F6"/>
    <w:multiLevelType w:val="multilevel"/>
    <w:tmpl w:val="A8404FB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nsid w:val="712C7DFF"/>
    <w:multiLevelType w:val="multilevel"/>
    <w:tmpl w:val="08FADC3E"/>
    <w:lvl w:ilvl="0">
      <w:start w:val="1"/>
      <w:numFmt w:val="decimal"/>
      <w:lvlText w:val="%1)"/>
      <w:lvlJc w:val="left"/>
      <w:pPr>
        <w:ind w:left="360" w:hanging="360"/>
      </w:pPr>
    </w:lvl>
    <w:lvl w:ilvl="1">
      <w:start w:val="1"/>
      <w:numFmt w:val="bullet"/>
      <w:lvlText w:val=""/>
      <w:lvlJc w:val="left"/>
      <w:pPr>
        <w:ind w:left="720" w:hanging="360"/>
      </w:pPr>
      <w:rPr>
        <w:rFonts w:ascii="Symbol" w:hAnsi="Symbol" w:cs="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nsid w:val="71EB06AE"/>
    <w:multiLevelType w:val="multilevel"/>
    <w:tmpl w:val="D88AD06E"/>
    <w:lvl w:ilvl="0">
      <w:start w:val="1"/>
      <w:numFmt w:val="bullet"/>
      <w:lvlText w:val=""/>
      <w:lvlJc w:val="left"/>
      <w:pPr>
        <w:ind w:left="617"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nsid w:val="751F069A"/>
    <w:multiLevelType w:val="multilevel"/>
    <w:tmpl w:val="E340B5E4"/>
    <w:lvl w:ilvl="0">
      <w:start w:val="1"/>
      <w:numFmt w:val="bullet"/>
      <w:lvlText w:val=""/>
      <w:lvlJc w:val="left"/>
      <w:pPr>
        <w:ind w:left="360" w:hanging="360"/>
      </w:pPr>
      <w:rPr>
        <w:rFonts w:ascii="Symbol" w:hAnsi="Symbol" w:cs="Symbol" w:hint="default"/>
        <w:color w:val="5B9BD5"/>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nsid w:val="7B5C4216"/>
    <w:multiLevelType w:val="multilevel"/>
    <w:tmpl w:val="111A717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num w:numId="1">
    <w:abstractNumId w:val="11"/>
  </w:num>
  <w:num w:numId="2">
    <w:abstractNumId w:val="15"/>
  </w:num>
  <w:num w:numId="3">
    <w:abstractNumId w:val="21"/>
  </w:num>
  <w:num w:numId="4">
    <w:abstractNumId w:val="19"/>
  </w:num>
  <w:num w:numId="5">
    <w:abstractNumId w:val="13"/>
  </w:num>
  <w:num w:numId="6">
    <w:abstractNumId w:val="32"/>
  </w:num>
  <w:num w:numId="7">
    <w:abstractNumId w:val="18"/>
  </w:num>
  <w:num w:numId="8">
    <w:abstractNumId w:val="34"/>
  </w:num>
  <w:num w:numId="9">
    <w:abstractNumId w:val="38"/>
  </w:num>
  <w:num w:numId="10">
    <w:abstractNumId w:val="54"/>
  </w:num>
  <w:num w:numId="11">
    <w:abstractNumId w:val="35"/>
  </w:num>
  <w:num w:numId="12">
    <w:abstractNumId w:val="44"/>
  </w:num>
  <w:num w:numId="13">
    <w:abstractNumId w:val="37"/>
  </w:num>
  <w:num w:numId="14">
    <w:abstractNumId w:val="7"/>
  </w:num>
  <w:num w:numId="15">
    <w:abstractNumId w:val="3"/>
  </w:num>
  <w:num w:numId="16">
    <w:abstractNumId w:val="12"/>
  </w:num>
  <w:num w:numId="17">
    <w:abstractNumId w:val="43"/>
  </w:num>
  <w:num w:numId="18">
    <w:abstractNumId w:val="42"/>
  </w:num>
  <w:num w:numId="19">
    <w:abstractNumId w:val="28"/>
  </w:num>
  <w:num w:numId="20">
    <w:abstractNumId w:val="50"/>
  </w:num>
  <w:num w:numId="21">
    <w:abstractNumId w:val="49"/>
  </w:num>
  <w:num w:numId="22">
    <w:abstractNumId w:val="39"/>
  </w:num>
  <w:num w:numId="23">
    <w:abstractNumId w:val="4"/>
  </w:num>
  <w:num w:numId="24">
    <w:abstractNumId w:val="52"/>
  </w:num>
  <w:num w:numId="25">
    <w:abstractNumId w:val="31"/>
  </w:num>
  <w:num w:numId="26">
    <w:abstractNumId w:val="5"/>
  </w:num>
  <w:num w:numId="27">
    <w:abstractNumId w:val="36"/>
  </w:num>
  <w:num w:numId="28">
    <w:abstractNumId w:val="46"/>
  </w:num>
  <w:num w:numId="29">
    <w:abstractNumId w:val="9"/>
  </w:num>
  <w:num w:numId="30">
    <w:abstractNumId w:val="53"/>
  </w:num>
  <w:num w:numId="31">
    <w:abstractNumId w:val="26"/>
  </w:num>
  <w:num w:numId="32">
    <w:abstractNumId w:val="29"/>
  </w:num>
  <w:num w:numId="33">
    <w:abstractNumId w:val="40"/>
  </w:num>
  <w:num w:numId="34">
    <w:abstractNumId w:val="41"/>
  </w:num>
  <w:num w:numId="35">
    <w:abstractNumId w:val="10"/>
  </w:num>
  <w:num w:numId="36">
    <w:abstractNumId w:val="20"/>
  </w:num>
  <w:num w:numId="37">
    <w:abstractNumId w:val="8"/>
  </w:num>
  <w:num w:numId="38">
    <w:abstractNumId w:val="51"/>
  </w:num>
  <w:num w:numId="39">
    <w:abstractNumId w:val="45"/>
  </w:num>
  <w:num w:numId="40">
    <w:abstractNumId w:val="30"/>
  </w:num>
  <w:num w:numId="41">
    <w:abstractNumId w:val="23"/>
  </w:num>
  <w:num w:numId="42">
    <w:abstractNumId w:val="1"/>
  </w:num>
  <w:num w:numId="43">
    <w:abstractNumId w:val="47"/>
  </w:num>
  <w:num w:numId="44">
    <w:abstractNumId w:val="2"/>
  </w:num>
  <w:num w:numId="45">
    <w:abstractNumId w:val="14"/>
  </w:num>
  <w:num w:numId="46">
    <w:abstractNumId w:val="27"/>
  </w:num>
  <w:num w:numId="47">
    <w:abstractNumId w:val="24"/>
  </w:num>
  <w:num w:numId="48">
    <w:abstractNumId w:val="22"/>
  </w:num>
  <w:num w:numId="49">
    <w:abstractNumId w:val="0"/>
  </w:num>
  <w:num w:numId="50">
    <w:abstractNumId w:val="17"/>
  </w:num>
  <w:num w:numId="51">
    <w:abstractNumId w:val="6"/>
  </w:num>
  <w:num w:numId="52">
    <w:abstractNumId w:val="25"/>
  </w:num>
  <w:num w:numId="53">
    <w:abstractNumId w:val="48"/>
  </w:num>
  <w:num w:numId="54">
    <w:abstractNumId w:val="33"/>
  </w:num>
  <w:num w:numId="55">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5FA"/>
    <w:rsid w:val="00111592"/>
    <w:rsid w:val="006B590B"/>
    <w:rsid w:val="0085007C"/>
    <w:rsid w:val="00887D84"/>
    <w:rsid w:val="00A47575"/>
    <w:rsid w:val="00DC75FA"/>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style>
  <w:style w:type="paragraph" w:styleId="Nagwek1">
    <w:name w:val="heading 1"/>
    <w:basedOn w:val="Normalny"/>
    <w:next w:val="Normalny"/>
    <w:link w:val="Nagwek1Znak"/>
    <w:uiPriority w:val="9"/>
    <w:qFormat/>
    <w:rsid w:val="008612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8612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8612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FD4476"/>
    <w:pPr>
      <w:keepNext/>
      <w:keepLines/>
      <w:spacing w:before="40" w:after="0" w:line="276" w:lineRule="auto"/>
      <w:contextualSpacing/>
      <w:jc w:val="both"/>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8612B2"/>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qFormat/>
    <w:rsid w:val="008612B2"/>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qFormat/>
    <w:rsid w:val="008612B2"/>
    <w:rPr>
      <w:rFonts w:asciiTheme="majorHAnsi" w:eastAsiaTheme="majorEastAsia" w:hAnsiTheme="majorHAnsi" w:cstheme="majorBidi"/>
      <w:color w:val="1F4D78" w:themeColor="accent1" w:themeShade="7F"/>
      <w:sz w:val="24"/>
      <w:szCs w:val="24"/>
    </w:rPr>
  </w:style>
  <w:style w:type="character" w:customStyle="1" w:styleId="BezodstpwZnak">
    <w:name w:val="Bez odstępów Znak"/>
    <w:basedOn w:val="Domylnaczcionkaakapitu"/>
    <w:link w:val="Bezodstpw"/>
    <w:uiPriority w:val="1"/>
    <w:qFormat/>
    <w:rsid w:val="008612B2"/>
    <w:rPr>
      <w:rFonts w:eastAsiaTheme="minorEastAsia"/>
      <w:lang w:eastAsia="pl-PL"/>
    </w:rPr>
  </w:style>
  <w:style w:type="character" w:customStyle="1" w:styleId="TekstprzypisudolnegoZnak">
    <w:name w:val="Tekst przypisu dolnego Znak"/>
    <w:basedOn w:val="Domylnaczcionkaakapitu"/>
    <w:link w:val="Tekstprzypisudolnego"/>
    <w:uiPriority w:val="99"/>
    <w:qFormat/>
    <w:rsid w:val="008612B2"/>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unhideWhenUsed/>
    <w:qFormat/>
    <w:rsid w:val="008612B2"/>
    <w:rPr>
      <w:vertAlign w:val="superscript"/>
    </w:rPr>
  </w:style>
  <w:style w:type="character" w:customStyle="1" w:styleId="czeinternetowe">
    <w:name w:val="Łącze internetowe"/>
    <w:basedOn w:val="Domylnaczcionkaakapitu"/>
    <w:uiPriority w:val="99"/>
    <w:unhideWhenUsed/>
    <w:rsid w:val="008612B2"/>
    <w:rPr>
      <w:color w:val="0563C1" w:themeColor="hyperlink"/>
      <w:u w:val="single"/>
    </w:rPr>
  </w:style>
  <w:style w:type="character" w:customStyle="1" w:styleId="NagwekZnak">
    <w:name w:val="Nagłówek Znak"/>
    <w:basedOn w:val="Domylnaczcionkaakapitu"/>
    <w:link w:val="Nagwek"/>
    <w:uiPriority w:val="99"/>
    <w:qFormat/>
    <w:rsid w:val="008612B2"/>
  </w:style>
  <w:style w:type="character" w:customStyle="1" w:styleId="StopkaZnak">
    <w:name w:val="Stopka Znak"/>
    <w:basedOn w:val="Domylnaczcionkaakapitu"/>
    <w:link w:val="Stopka"/>
    <w:uiPriority w:val="99"/>
    <w:qFormat/>
    <w:rsid w:val="008612B2"/>
  </w:style>
  <w:style w:type="character" w:customStyle="1" w:styleId="fontstyle01">
    <w:name w:val="fontstyle01"/>
    <w:basedOn w:val="Domylnaczcionkaakapitu"/>
    <w:qFormat/>
    <w:rsid w:val="008612B2"/>
    <w:rPr>
      <w:rFonts w:ascii="Calibri" w:hAnsi="Calibri" w:cs="Calibri"/>
      <w:b w:val="0"/>
      <w:bCs w:val="0"/>
      <w:i w:val="0"/>
      <w:iCs w:val="0"/>
      <w:color w:val="000000"/>
      <w:sz w:val="22"/>
      <w:szCs w:val="22"/>
    </w:rPr>
  </w:style>
  <w:style w:type="character" w:customStyle="1" w:styleId="fontstyle21">
    <w:name w:val="fontstyle21"/>
    <w:basedOn w:val="Domylnaczcionkaakapitu"/>
    <w:qFormat/>
    <w:rsid w:val="008612B2"/>
    <w:rPr>
      <w:rFonts w:ascii="SymbolMT" w:hAnsi="SymbolMT"/>
      <w:b w:val="0"/>
      <w:bCs w:val="0"/>
      <w:i w:val="0"/>
      <w:iCs w:val="0"/>
      <w:color w:val="000000"/>
      <w:sz w:val="22"/>
      <w:szCs w:val="22"/>
    </w:rPr>
  </w:style>
  <w:style w:type="character" w:customStyle="1" w:styleId="fontstyle31">
    <w:name w:val="fontstyle31"/>
    <w:basedOn w:val="Domylnaczcionkaakapitu"/>
    <w:qFormat/>
    <w:rsid w:val="008612B2"/>
    <w:rPr>
      <w:rFonts w:ascii="Calibri-Bold" w:hAnsi="Calibri-Bold"/>
      <w:b/>
      <w:bCs/>
      <w:i w:val="0"/>
      <w:iCs w:val="0"/>
      <w:color w:val="000000"/>
      <w:sz w:val="22"/>
      <w:szCs w:val="22"/>
    </w:rPr>
  </w:style>
  <w:style w:type="character" w:customStyle="1" w:styleId="Nierozpoznanawzmianka1">
    <w:name w:val="Nierozpoznana wzmianka1"/>
    <w:basedOn w:val="Domylnaczcionkaakapitu"/>
    <w:uiPriority w:val="99"/>
    <w:semiHidden/>
    <w:unhideWhenUsed/>
    <w:qFormat/>
    <w:rsid w:val="00FD4476"/>
  </w:style>
  <w:style w:type="character" w:customStyle="1" w:styleId="TekstkomentarzaZnak">
    <w:name w:val="Tekst komentarza Znak"/>
    <w:basedOn w:val="Domylnaczcionkaakapitu"/>
    <w:link w:val="Tekstkomentarza"/>
    <w:qFormat/>
    <w:rsid w:val="008612B2"/>
    <w:rPr>
      <w:sz w:val="20"/>
      <w:szCs w:val="20"/>
    </w:rPr>
  </w:style>
  <w:style w:type="character" w:customStyle="1" w:styleId="TematkomentarzaZnak">
    <w:name w:val="Temat komentarza Znak"/>
    <w:basedOn w:val="TekstkomentarzaZnak"/>
    <w:link w:val="Tematkomentarza"/>
    <w:uiPriority w:val="99"/>
    <w:semiHidden/>
    <w:qFormat/>
    <w:rsid w:val="008612B2"/>
    <w:rPr>
      <w:b/>
      <w:bCs/>
      <w:sz w:val="20"/>
      <w:szCs w:val="20"/>
    </w:rPr>
  </w:style>
  <w:style w:type="character" w:customStyle="1" w:styleId="Nagwek4Znak">
    <w:name w:val="Nagłówek 4 Znak"/>
    <w:basedOn w:val="Domylnaczcionkaakapitu"/>
    <w:link w:val="Nagwek4"/>
    <w:uiPriority w:val="9"/>
    <w:qFormat/>
    <w:rsid w:val="00FD4476"/>
    <w:rPr>
      <w:rFonts w:asciiTheme="majorHAnsi" w:eastAsiaTheme="majorEastAsia" w:hAnsiTheme="majorHAnsi" w:cstheme="majorBidi"/>
      <w:i/>
      <w:iCs/>
      <w:color w:val="2E74B5" w:themeColor="accent1" w:themeShade="BF"/>
    </w:rPr>
  </w:style>
  <w:style w:type="character" w:customStyle="1" w:styleId="TekstdymkaZnak">
    <w:name w:val="Tekst dymka Znak"/>
    <w:basedOn w:val="Domylnaczcionkaakapitu"/>
    <w:link w:val="Tekstdymka"/>
    <w:uiPriority w:val="99"/>
    <w:semiHidden/>
    <w:qFormat/>
    <w:rsid w:val="00FD4476"/>
    <w:rPr>
      <w:rFonts w:ascii="Tahoma" w:hAnsi="Tahoma" w:cs="Tahoma"/>
      <w:sz w:val="16"/>
      <w:szCs w:val="16"/>
    </w:rPr>
  </w:style>
  <w:style w:type="character" w:customStyle="1" w:styleId="apple-converted-space">
    <w:name w:val="apple-converted-space"/>
    <w:basedOn w:val="Domylnaczcionkaakapitu"/>
    <w:qFormat/>
    <w:rsid w:val="00FD4476"/>
  </w:style>
  <w:style w:type="character" w:styleId="Pogrubienie">
    <w:name w:val="Strong"/>
    <w:basedOn w:val="Domylnaczcionkaakapitu"/>
    <w:uiPriority w:val="22"/>
    <w:qFormat/>
    <w:rsid w:val="00FD4476"/>
    <w:rPr>
      <w:b/>
      <w:bCs/>
    </w:rPr>
  </w:style>
  <w:style w:type="character" w:styleId="UyteHipercze">
    <w:name w:val="FollowedHyperlink"/>
    <w:basedOn w:val="Domylnaczcionkaakapitu"/>
    <w:uiPriority w:val="99"/>
    <w:semiHidden/>
    <w:unhideWhenUsed/>
    <w:qFormat/>
    <w:rsid w:val="00FD4476"/>
    <w:rPr>
      <w:color w:val="954F72" w:themeColor="followedHyperlink"/>
      <w:u w:val="single"/>
    </w:rPr>
  </w:style>
  <w:style w:type="character" w:customStyle="1" w:styleId="textexposedshow">
    <w:name w:val="text_exposed_show"/>
    <w:basedOn w:val="Domylnaczcionkaakapitu"/>
    <w:qFormat/>
    <w:rsid w:val="00FD4476"/>
  </w:style>
  <w:style w:type="character" w:customStyle="1" w:styleId="newssingledate">
    <w:name w:val="news_single_date"/>
    <w:basedOn w:val="Domylnaczcionkaakapitu"/>
    <w:qFormat/>
    <w:rsid w:val="00FD4476"/>
  </w:style>
  <w:style w:type="character" w:customStyle="1" w:styleId="HTML-wstpniesformatowanyZnak">
    <w:name w:val="HTML - wstępnie sformatowany Znak"/>
    <w:basedOn w:val="Domylnaczcionkaakapitu"/>
    <w:uiPriority w:val="99"/>
    <w:qFormat/>
    <w:rsid w:val="00FD4476"/>
    <w:rPr>
      <w:rFonts w:ascii="Courier New" w:eastAsia="Times New Roman" w:hAnsi="Courier New" w:cs="Courier New"/>
      <w:sz w:val="20"/>
      <w:szCs w:val="20"/>
      <w:lang w:eastAsia="pl-PL"/>
    </w:rPr>
  </w:style>
  <w:style w:type="character" w:customStyle="1" w:styleId="label-2">
    <w:name w:val="label-2"/>
    <w:basedOn w:val="Domylnaczcionkaakapitu"/>
    <w:qFormat/>
    <w:rsid w:val="00FD4476"/>
  </w:style>
  <w:style w:type="character" w:customStyle="1" w:styleId="os">
    <w:name w:val="os"/>
    <w:basedOn w:val="Domylnaczcionkaakapitu"/>
    <w:qFormat/>
    <w:rsid w:val="00FD4476"/>
  </w:style>
  <w:style w:type="character" w:customStyle="1" w:styleId="separator">
    <w:name w:val="separator"/>
    <w:basedOn w:val="Domylnaczcionkaakapitu"/>
    <w:qFormat/>
    <w:rsid w:val="00FD4476"/>
  </w:style>
  <w:style w:type="character" w:customStyle="1" w:styleId="dzialanie">
    <w:name w:val="dzialanie"/>
    <w:basedOn w:val="Domylnaczcionkaakapitu"/>
    <w:qFormat/>
    <w:rsid w:val="00FD4476"/>
  </w:style>
  <w:style w:type="character" w:customStyle="1" w:styleId="Wyrnienie">
    <w:name w:val="Wyróżnienie"/>
    <w:basedOn w:val="Domylnaczcionkaakapitu"/>
    <w:uiPriority w:val="20"/>
    <w:qFormat/>
    <w:rsid w:val="00FD4476"/>
    <w:rPr>
      <w:i/>
      <w:iCs/>
    </w:rPr>
  </w:style>
  <w:style w:type="character" w:styleId="Numerstrony">
    <w:name w:val="page number"/>
    <w:basedOn w:val="Domylnaczcionkaakapitu"/>
    <w:qFormat/>
    <w:rsid w:val="00FD4476"/>
    <w:rPr>
      <w:rFonts w:cs="Times New Roman"/>
    </w:rPr>
  </w:style>
  <w:style w:type="character" w:customStyle="1" w:styleId="TekstprzypisukocowegoZnak">
    <w:name w:val="Tekst przypisu końcowego Znak"/>
    <w:basedOn w:val="Domylnaczcionkaakapitu"/>
    <w:link w:val="Tekstprzypisukocowego"/>
    <w:uiPriority w:val="99"/>
    <w:semiHidden/>
    <w:qFormat/>
    <w:rsid w:val="00FD4476"/>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FD4476"/>
    <w:rPr>
      <w:vertAlign w:val="superscript"/>
    </w:rPr>
  </w:style>
  <w:style w:type="character" w:customStyle="1" w:styleId="TekstpodstawowyZnak">
    <w:name w:val="Tekst podstawowy Znak"/>
    <w:basedOn w:val="Domylnaczcionkaakapitu"/>
    <w:link w:val="Tekstpodstawowy"/>
    <w:semiHidden/>
    <w:qFormat/>
    <w:rsid w:val="00FD4476"/>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semiHidden/>
    <w:qFormat/>
    <w:rsid w:val="00FD4476"/>
  </w:style>
  <w:style w:type="character" w:customStyle="1" w:styleId="TekstpodstawowywcityZnak">
    <w:name w:val="Tekst podstawowy wcięty Znak"/>
    <w:basedOn w:val="Domylnaczcionkaakapitu"/>
    <w:link w:val="Tekstpodstawowywcity"/>
    <w:uiPriority w:val="99"/>
    <w:semiHidden/>
    <w:qFormat/>
    <w:rsid w:val="00FD4476"/>
  </w:style>
  <w:style w:type="character" w:styleId="Odwoaniedokomentarza">
    <w:name w:val="annotation reference"/>
    <w:basedOn w:val="Domylnaczcionkaakapitu"/>
    <w:uiPriority w:val="99"/>
    <w:semiHidden/>
    <w:unhideWhenUsed/>
    <w:qFormat/>
    <w:rsid w:val="00FD4476"/>
    <w:rPr>
      <w:sz w:val="16"/>
      <w:szCs w:val="16"/>
    </w:rPr>
  </w:style>
  <w:style w:type="character" w:styleId="Wyrnieniedelikatne">
    <w:name w:val="Subtle Emphasis"/>
    <w:basedOn w:val="Domylnaczcionkaakapitu"/>
    <w:uiPriority w:val="19"/>
    <w:qFormat/>
    <w:rsid w:val="00FD4476"/>
    <w:rPr>
      <w:i/>
      <w:iCs/>
      <w:color w:val="808080" w:themeColor="text1" w:themeTint="7F"/>
    </w:rPr>
  </w:style>
  <w:style w:type="character" w:customStyle="1" w:styleId="ZagicieodgryformularzaZnak">
    <w:name w:val="Zagięcie od góry formularza Znak"/>
    <w:basedOn w:val="Domylnaczcionkaakapitu"/>
    <w:link w:val="Zagicieodgryformularza"/>
    <w:uiPriority w:val="99"/>
    <w:semiHidden/>
    <w:qFormat/>
    <w:rsid w:val="00FD4476"/>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qFormat/>
    <w:rsid w:val="00FD4476"/>
    <w:rPr>
      <w:rFonts w:ascii="Arial" w:eastAsia="Times New Roman" w:hAnsi="Arial" w:cs="Arial"/>
      <w:vanish/>
      <w:sz w:val="16"/>
      <w:szCs w:val="16"/>
      <w:lang w:eastAsia="pl-PL"/>
    </w:rPr>
  </w:style>
  <w:style w:type="character" w:customStyle="1" w:styleId="teksttZnak">
    <w:name w:val="tekstt Znak"/>
    <w:basedOn w:val="Domylnaczcionkaakapitu"/>
    <w:qFormat/>
    <w:rsid w:val="00FD4476"/>
    <w:rPr>
      <w:rFonts w:ascii="Times New Roman" w:eastAsia="Arial" w:hAnsi="Times New Roman" w:cs="Times New Roman"/>
      <w:sz w:val="24"/>
      <w:lang w:eastAsia="ar-SA"/>
    </w:rPr>
  </w:style>
  <w:style w:type="character" w:customStyle="1" w:styleId="TekstkomentarzaZnak1">
    <w:name w:val="Tekst komentarza Znak1"/>
    <w:basedOn w:val="Domylnaczcionkaakapitu"/>
    <w:uiPriority w:val="99"/>
    <w:semiHidden/>
    <w:qFormat/>
    <w:rsid w:val="00BC56BE"/>
    <w:rPr>
      <w:sz w:val="20"/>
      <w:szCs w:val="20"/>
    </w:rPr>
  </w:style>
  <w:style w:type="character" w:customStyle="1" w:styleId="TematkomentarzaZnak1">
    <w:name w:val="Temat komentarza Znak1"/>
    <w:basedOn w:val="TekstkomentarzaZnak1"/>
    <w:uiPriority w:val="99"/>
    <w:semiHidden/>
    <w:qFormat/>
    <w:rsid w:val="00BC56BE"/>
    <w:rPr>
      <w:b/>
      <w:bCs/>
      <w:sz w:val="20"/>
      <w:szCs w:val="20"/>
    </w:rPr>
  </w:style>
  <w:style w:type="character" w:customStyle="1" w:styleId="czeindeksu">
    <w:name w:val="Łącze indeksu"/>
    <w:qFormat/>
  </w:style>
  <w:style w:type="character" w:customStyle="1" w:styleId="Znakiprzypiswdolnych">
    <w:name w:val="Znaki przypisów dolnych"/>
    <w:qFormat/>
  </w:style>
  <w:style w:type="character" w:customStyle="1" w:styleId="Znakiprzypiswkocowych">
    <w:name w:val="Znaki przypisów końcowych"/>
    <w:qFormat/>
  </w:style>
  <w:style w:type="paragraph" w:styleId="Nagwek">
    <w:name w:val="header"/>
    <w:basedOn w:val="Normalny"/>
    <w:next w:val="Tekstpodstawowy"/>
    <w:link w:val="NagwekZnak"/>
    <w:uiPriority w:val="99"/>
    <w:unhideWhenUsed/>
    <w:rsid w:val="008612B2"/>
    <w:pPr>
      <w:tabs>
        <w:tab w:val="center" w:pos="4536"/>
        <w:tab w:val="right" w:pos="9072"/>
      </w:tabs>
      <w:spacing w:after="0" w:line="240" w:lineRule="auto"/>
    </w:pPr>
  </w:style>
  <w:style w:type="paragraph" w:styleId="Tekstpodstawowy">
    <w:name w:val="Body Text"/>
    <w:basedOn w:val="Normalny"/>
    <w:link w:val="TekstpodstawowyZnak"/>
    <w:semiHidden/>
    <w:rsid w:val="00FD4476"/>
    <w:pPr>
      <w:spacing w:after="0" w:line="360" w:lineRule="auto"/>
      <w:jc w:val="both"/>
    </w:pPr>
    <w:rPr>
      <w:rFonts w:ascii="Times New Roman" w:eastAsia="Times New Roman" w:hAnsi="Times New Roman" w:cs="Times New Roman"/>
      <w:sz w:val="24"/>
      <w:szCs w:val="24"/>
      <w:lang w:eastAsia="pl-PL"/>
    </w:rPr>
  </w:style>
  <w:style w:type="paragraph" w:styleId="Lista">
    <w:name w:val="List"/>
    <w:basedOn w:val="Tekstpodstawowy"/>
    <w:rPr>
      <w:rFonts w:cs="Arial"/>
    </w:rPr>
  </w:style>
  <w:style w:type="paragraph" w:styleId="Legenda">
    <w:name w:val="caption"/>
    <w:basedOn w:val="Normalny"/>
    <w:next w:val="Normalny"/>
    <w:uiPriority w:val="35"/>
    <w:unhideWhenUsed/>
    <w:qFormat/>
    <w:rsid w:val="008612B2"/>
    <w:pPr>
      <w:spacing w:after="200" w:line="240" w:lineRule="auto"/>
    </w:pPr>
    <w:rPr>
      <w:i/>
      <w:iCs/>
      <w:color w:val="44546A" w:themeColor="text2"/>
      <w:sz w:val="18"/>
      <w:szCs w:val="18"/>
    </w:rPr>
  </w:style>
  <w:style w:type="paragraph" w:customStyle="1" w:styleId="Indeks">
    <w:name w:val="Indeks"/>
    <w:basedOn w:val="Normalny"/>
    <w:qFormat/>
    <w:pPr>
      <w:suppressLineNumbers/>
    </w:pPr>
    <w:rPr>
      <w:rFonts w:cs="Arial"/>
    </w:rPr>
  </w:style>
  <w:style w:type="paragraph" w:styleId="Bezodstpw">
    <w:name w:val="No Spacing"/>
    <w:link w:val="BezodstpwZnak"/>
    <w:uiPriority w:val="1"/>
    <w:qFormat/>
    <w:rsid w:val="008612B2"/>
    <w:rPr>
      <w:rFonts w:ascii="Calibri" w:eastAsiaTheme="minorEastAsia" w:hAnsi="Calibri"/>
      <w:lang w:eastAsia="pl-PL"/>
    </w:rPr>
  </w:style>
  <w:style w:type="paragraph" w:styleId="Akapitzlist">
    <w:name w:val="List Paragraph"/>
    <w:basedOn w:val="Normalny"/>
    <w:uiPriority w:val="34"/>
    <w:qFormat/>
    <w:rsid w:val="008612B2"/>
    <w:pPr>
      <w:ind w:left="720"/>
      <w:contextualSpacing/>
    </w:pPr>
  </w:style>
  <w:style w:type="paragraph" w:styleId="Tekstprzypisudolnego">
    <w:name w:val="footnote text"/>
    <w:basedOn w:val="Normalny"/>
    <w:link w:val="TekstprzypisudolnegoZnak"/>
    <w:uiPriority w:val="99"/>
    <w:unhideWhenUsed/>
    <w:rsid w:val="008612B2"/>
    <w:pPr>
      <w:spacing w:after="0" w:line="240" w:lineRule="auto"/>
    </w:pPr>
    <w:rPr>
      <w:sz w:val="20"/>
      <w:szCs w:val="20"/>
    </w:rPr>
  </w:style>
  <w:style w:type="paragraph" w:customStyle="1" w:styleId="Gwkaistopka">
    <w:name w:val="Główka i stopka"/>
    <w:basedOn w:val="Normalny"/>
    <w:qFormat/>
  </w:style>
  <w:style w:type="paragraph" w:styleId="Stopka">
    <w:name w:val="footer"/>
    <w:basedOn w:val="Normalny"/>
    <w:link w:val="StopkaZnak"/>
    <w:uiPriority w:val="99"/>
    <w:unhideWhenUsed/>
    <w:rsid w:val="008612B2"/>
    <w:pPr>
      <w:tabs>
        <w:tab w:val="center" w:pos="4536"/>
        <w:tab w:val="right" w:pos="9072"/>
      </w:tabs>
      <w:spacing w:after="0" w:line="240" w:lineRule="auto"/>
    </w:pPr>
  </w:style>
  <w:style w:type="paragraph" w:styleId="Nagwekspisutreci">
    <w:name w:val="TOC Heading"/>
    <w:basedOn w:val="Nagwek1"/>
    <w:next w:val="Normalny"/>
    <w:uiPriority w:val="39"/>
    <w:unhideWhenUsed/>
    <w:qFormat/>
    <w:rsid w:val="008612B2"/>
    <w:rPr>
      <w:lang w:eastAsia="pl-PL"/>
    </w:rPr>
  </w:style>
  <w:style w:type="paragraph" w:styleId="Spistreci1">
    <w:name w:val="toc 1"/>
    <w:basedOn w:val="Normalny"/>
    <w:next w:val="Normalny"/>
    <w:autoRedefine/>
    <w:uiPriority w:val="39"/>
    <w:unhideWhenUsed/>
    <w:rsid w:val="00BD2FEA"/>
    <w:pPr>
      <w:tabs>
        <w:tab w:val="left" w:pos="660"/>
        <w:tab w:val="right" w:leader="dot" w:pos="9770"/>
      </w:tabs>
      <w:spacing w:after="100"/>
    </w:pPr>
    <w:rPr>
      <w:rFonts w:ascii="Times New Roman" w:hAnsi="Times New Roman" w:cs="Times New Roman"/>
    </w:rPr>
  </w:style>
  <w:style w:type="paragraph" w:styleId="Spistreci2">
    <w:name w:val="toc 2"/>
    <w:basedOn w:val="Normalny"/>
    <w:next w:val="Normalny"/>
    <w:autoRedefine/>
    <w:uiPriority w:val="39"/>
    <w:unhideWhenUsed/>
    <w:rsid w:val="008612B2"/>
    <w:pPr>
      <w:spacing w:after="100"/>
      <w:ind w:left="220"/>
    </w:pPr>
  </w:style>
  <w:style w:type="paragraph" w:customStyle="1" w:styleId="aaardo">
    <w:name w:val="aaaŹródło"/>
    <w:basedOn w:val="Legenda"/>
    <w:next w:val="Normalny"/>
    <w:autoRedefine/>
    <w:qFormat/>
    <w:rsid w:val="008612B2"/>
    <w:pPr>
      <w:spacing w:before="120" w:after="240" w:line="276" w:lineRule="auto"/>
      <w:contextualSpacing/>
      <w:jc w:val="both"/>
    </w:pPr>
    <w:rPr>
      <w:rFonts w:ascii="Times New Roman" w:hAnsi="Times New Roman"/>
      <w:bCs/>
      <w:i w:val="0"/>
      <w:iCs w:val="0"/>
      <w:color w:val="5B9BD5" w:themeColor="accent1"/>
      <w:szCs w:val="16"/>
    </w:rPr>
  </w:style>
  <w:style w:type="paragraph" w:styleId="Spisilustracji">
    <w:name w:val="table of figures"/>
    <w:basedOn w:val="Normalny"/>
    <w:next w:val="Normalny"/>
    <w:uiPriority w:val="99"/>
    <w:unhideWhenUsed/>
    <w:qFormat/>
    <w:rsid w:val="008612B2"/>
    <w:pPr>
      <w:spacing w:after="0"/>
    </w:pPr>
  </w:style>
  <w:style w:type="paragraph" w:styleId="Spistreci3">
    <w:name w:val="toc 3"/>
    <w:basedOn w:val="Normalny"/>
    <w:next w:val="Normalny"/>
    <w:autoRedefine/>
    <w:uiPriority w:val="39"/>
    <w:unhideWhenUsed/>
    <w:rsid w:val="008612B2"/>
    <w:pPr>
      <w:spacing w:after="100"/>
      <w:ind w:left="440"/>
    </w:pPr>
  </w:style>
  <w:style w:type="paragraph" w:styleId="Tekstkomentarza">
    <w:name w:val="annotation text"/>
    <w:basedOn w:val="Normalny"/>
    <w:link w:val="TekstkomentarzaZnak"/>
    <w:unhideWhenUsed/>
    <w:qFormat/>
    <w:rsid w:val="008612B2"/>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8612B2"/>
    <w:rPr>
      <w:b/>
      <w:bCs/>
    </w:rPr>
  </w:style>
  <w:style w:type="paragraph" w:styleId="Spistreci4">
    <w:name w:val="toc 4"/>
    <w:basedOn w:val="Normalny"/>
    <w:next w:val="Normalny"/>
    <w:autoRedefine/>
    <w:uiPriority w:val="39"/>
    <w:unhideWhenUsed/>
    <w:rsid w:val="00FD4476"/>
    <w:pPr>
      <w:spacing w:after="100"/>
      <w:ind w:left="660"/>
    </w:pPr>
  </w:style>
  <w:style w:type="paragraph" w:styleId="Tekstdymka">
    <w:name w:val="Balloon Text"/>
    <w:basedOn w:val="Normalny"/>
    <w:link w:val="TekstdymkaZnak"/>
    <w:uiPriority w:val="99"/>
    <w:semiHidden/>
    <w:unhideWhenUsed/>
    <w:qFormat/>
    <w:rsid w:val="00FD4476"/>
    <w:pPr>
      <w:spacing w:after="0" w:line="240" w:lineRule="auto"/>
      <w:contextualSpacing/>
      <w:jc w:val="both"/>
    </w:pPr>
    <w:rPr>
      <w:rFonts w:ascii="Tahoma" w:hAnsi="Tahoma" w:cs="Tahoma"/>
      <w:sz w:val="16"/>
      <w:szCs w:val="16"/>
    </w:rPr>
  </w:style>
  <w:style w:type="paragraph" w:styleId="Spistreci5">
    <w:name w:val="toc 5"/>
    <w:basedOn w:val="Normalny"/>
    <w:next w:val="Normalny"/>
    <w:autoRedefine/>
    <w:uiPriority w:val="39"/>
    <w:unhideWhenUsed/>
    <w:rsid w:val="00FD4476"/>
    <w:pPr>
      <w:spacing w:after="100" w:line="276" w:lineRule="auto"/>
      <w:ind w:left="880"/>
      <w:contextualSpacing/>
      <w:jc w:val="both"/>
    </w:pPr>
    <w:rPr>
      <w:rFonts w:eastAsiaTheme="minorEastAsia"/>
      <w:lang w:eastAsia="pl-PL"/>
    </w:rPr>
  </w:style>
  <w:style w:type="paragraph" w:styleId="Spistreci6">
    <w:name w:val="toc 6"/>
    <w:basedOn w:val="Normalny"/>
    <w:next w:val="Normalny"/>
    <w:autoRedefine/>
    <w:uiPriority w:val="39"/>
    <w:unhideWhenUsed/>
    <w:rsid w:val="00FD4476"/>
    <w:pPr>
      <w:spacing w:after="100" w:line="276" w:lineRule="auto"/>
      <w:ind w:left="1100"/>
      <w:contextualSpacing/>
      <w:jc w:val="both"/>
    </w:pPr>
    <w:rPr>
      <w:rFonts w:eastAsiaTheme="minorEastAsia"/>
      <w:lang w:eastAsia="pl-PL"/>
    </w:rPr>
  </w:style>
  <w:style w:type="paragraph" w:styleId="Spistreci7">
    <w:name w:val="toc 7"/>
    <w:basedOn w:val="Normalny"/>
    <w:next w:val="Normalny"/>
    <w:autoRedefine/>
    <w:uiPriority w:val="39"/>
    <w:unhideWhenUsed/>
    <w:rsid w:val="00FD4476"/>
    <w:pPr>
      <w:spacing w:after="100" w:line="276" w:lineRule="auto"/>
      <w:ind w:left="1320"/>
      <w:contextualSpacing/>
      <w:jc w:val="both"/>
    </w:pPr>
    <w:rPr>
      <w:rFonts w:eastAsiaTheme="minorEastAsia"/>
      <w:lang w:eastAsia="pl-PL"/>
    </w:rPr>
  </w:style>
  <w:style w:type="paragraph" w:styleId="Spistreci8">
    <w:name w:val="toc 8"/>
    <w:basedOn w:val="Normalny"/>
    <w:next w:val="Normalny"/>
    <w:autoRedefine/>
    <w:uiPriority w:val="39"/>
    <w:unhideWhenUsed/>
    <w:rsid w:val="00FD4476"/>
    <w:pPr>
      <w:spacing w:after="100" w:line="276" w:lineRule="auto"/>
      <w:ind w:left="1540"/>
      <w:contextualSpacing/>
      <w:jc w:val="both"/>
    </w:pPr>
    <w:rPr>
      <w:rFonts w:eastAsiaTheme="minorEastAsia"/>
      <w:lang w:eastAsia="pl-PL"/>
    </w:rPr>
  </w:style>
  <w:style w:type="paragraph" w:styleId="Spistreci9">
    <w:name w:val="toc 9"/>
    <w:basedOn w:val="Normalny"/>
    <w:next w:val="Normalny"/>
    <w:autoRedefine/>
    <w:uiPriority w:val="39"/>
    <w:unhideWhenUsed/>
    <w:rsid w:val="00FD4476"/>
    <w:pPr>
      <w:spacing w:after="100" w:line="276" w:lineRule="auto"/>
      <w:ind w:left="1760"/>
      <w:contextualSpacing/>
      <w:jc w:val="both"/>
    </w:pPr>
    <w:rPr>
      <w:rFonts w:eastAsiaTheme="minorEastAsia"/>
      <w:lang w:eastAsia="pl-PL"/>
    </w:rPr>
  </w:style>
  <w:style w:type="paragraph" w:customStyle="1" w:styleId="podpis">
    <w:name w:val="podpis"/>
    <w:basedOn w:val="Normalny"/>
    <w:autoRedefine/>
    <w:qFormat/>
    <w:rsid w:val="00FD4476"/>
    <w:pPr>
      <w:spacing w:before="240" w:after="120" w:line="276" w:lineRule="auto"/>
      <w:contextualSpacing/>
      <w:jc w:val="both"/>
    </w:pPr>
    <w:rPr>
      <w:bCs/>
      <w:color w:val="5B9BD5" w:themeColor="accent1"/>
      <w:sz w:val="18"/>
    </w:rPr>
  </w:style>
  <w:style w:type="paragraph" w:customStyle="1" w:styleId="rdo">
    <w:name w:val="źródło"/>
    <w:basedOn w:val="Legenda"/>
    <w:qFormat/>
    <w:rsid w:val="00FD4476"/>
    <w:pPr>
      <w:spacing w:before="120" w:after="240"/>
      <w:contextualSpacing/>
    </w:pPr>
    <w:rPr>
      <w:rFonts w:cstheme="minorHAnsi"/>
      <w:bCs/>
      <w:i w:val="0"/>
      <w:iCs w:val="0"/>
      <w:color w:val="5B9BD5" w:themeColor="accent1"/>
      <w:sz w:val="20"/>
      <w:szCs w:val="24"/>
    </w:rPr>
  </w:style>
  <w:style w:type="paragraph" w:styleId="NormalnyWeb">
    <w:name w:val="Normal (Web)"/>
    <w:basedOn w:val="Normalny"/>
    <w:unhideWhenUsed/>
    <w:qFormat/>
    <w:rsid w:val="00FD4476"/>
    <w:pPr>
      <w:spacing w:beforeAutospacing="1" w:afterAutospacing="1" w:line="240" w:lineRule="auto"/>
    </w:pPr>
    <w:rPr>
      <w:rFonts w:ascii="Times New Roman" w:eastAsia="Times New Roman" w:hAnsi="Times New Roman" w:cs="Times New Roman"/>
      <w:szCs w:val="24"/>
      <w:lang w:eastAsia="pl-PL"/>
    </w:rPr>
  </w:style>
  <w:style w:type="paragraph" w:customStyle="1" w:styleId="newssinglelead">
    <w:name w:val="news_single_lead"/>
    <w:basedOn w:val="Normalny"/>
    <w:qFormat/>
    <w:rsid w:val="00FD4476"/>
    <w:pPr>
      <w:spacing w:beforeAutospacing="1" w:afterAutospacing="1" w:line="240" w:lineRule="auto"/>
    </w:pPr>
    <w:rPr>
      <w:rFonts w:ascii="Times New Roman" w:eastAsia="Times New Roman" w:hAnsi="Times New Roman" w:cs="Times New Roman"/>
      <w:szCs w:val="24"/>
      <w:lang w:eastAsia="pl-PL"/>
    </w:rPr>
  </w:style>
  <w:style w:type="paragraph" w:customStyle="1" w:styleId="p1">
    <w:name w:val="p1"/>
    <w:basedOn w:val="Normalny"/>
    <w:qFormat/>
    <w:rsid w:val="00FD4476"/>
    <w:pPr>
      <w:spacing w:beforeAutospacing="1" w:afterAutospacing="1" w:line="240" w:lineRule="auto"/>
    </w:pPr>
    <w:rPr>
      <w:rFonts w:ascii="Times New Roman" w:eastAsia="Times New Roman" w:hAnsi="Times New Roman" w:cs="Times New Roman"/>
      <w:szCs w:val="24"/>
      <w:lang w:eastAsia="pl-PL"/>
    </w:rPr>
  </w:style>
  <w:style w:type="paragraph" w:customStyle="1" w:styleId="pagename">
    <w:name w:val="page_name"/>
    <w:basedOn w:val="Normalny"/>
    <w:qFormat/>
    <w:rsid w:val="00FD4476"/>
    <w:pPr>
      <w:spacing w:beforeAutospacing="1" w:afterAutospacing="1" w:line="240" w:lineRule="auto"/>
    </w:pPr>
    <w:rPr>
      <w:rFonts w:ascii="Times New Roman" w:eastAsia="Times New Roman" w:hAnsi="Times New Roman" w:cs="Times New Roman"/>
      <w:szCs w:val="24"/>
      <w:lang w:eastAsia="pl-PL"/>
    </w:rPr>
  </w:style>
  <w:style w:type="paragraph" w:styleId="HTML-wstpniesformatowany">
    <w:name w:val="HTML Preformatted"/>
    <w:basedOn w:val="Normalny"/>
    <w:uiPriority w:val="99"/>
    <w:unhideWhenUsed/>
    <w:qFormat/>
    <w:rsid w:val="00FD4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paragraph" w:customStyle="1" w:styleId="Textbody">
    <w:name w:val="Text body"/>
    <w:basedOn w:val="Normalny"/>
    <w:qFormat/>
    <w:rsid w:val="00FD4476"/>
    <w:pPr>
      <w:widowControl w:val="0"/>
      <w:suppressAutoHyphens/>
      <w:spacing w:after="120" w:line="240" w:lineRule="auto"/>
      <w:textAlignment w:val="baseline"/>
    </w:pPr>
    <w:rPr>
      <w:rFonts w:ascii="Times New Roman" w:eastAsia="Andale Sans UI" w:hAnsi="Times New Roman" w:cs="Tahoma"/>
      <w:kern w:val="2"/>
      <w:sz w:val="24"/>
      <w:szCs w:val="24"/>
      <w:lang w:val="de-DE" w:eastAsia="ja-JP" w:bidi="fa-IR"/>
    </w:rPr>
  </w:style>
  <w:style w:type="paragraph" w:customStyle="1" w:styleId="Default">
    <w:name w:val="Default"/>
    <w:qFormat/>
    <w:rsid w:val="00FD4476"/>
    <w:rPr>
      <w:rFonts w:ascii="Calibri" w:eastAsia="Calibri" w:hAnsi="Calibri" w:cs="Calibri"/>
      <w:color w:val="000000"/>
      <w:sz w:val="24"/>
      <w:szCs w:val="24"/>
    </w:rPr>
  </w:style>
  <w:style w:type="paragraph" w:styleId="Tekstprzypisukocowego">
    <w:name w:val="endnote text"/>
    <w:basedOn w:val="Normalny"/>
    <w:link w:val="TekstprzypisukocowegoZnak"/>
    <w:uiPriority w:val="99"/>
    <w:semiHidden/>
    <w:unhideWhenUsed/>
    <w:rsid w:val="00FD4476"/>
    <w:pPr>
      <w:spacing w:after="0" w:line="240" w:lineRule="auto"/>
      <w:contextualSpacing/>
      <w:jc w:val="both"/>
    </w:pPr>
    <w:rPr>
      <w:sz w:val="20"/>
      <w:szCs w:val="20"/>
    </w:rPr>
  </w:style>
  <w:style w:type="paragraph" w:customStyle="1" w:styleId="Standard">
    <w:name w:val="Standard"/>
    <w:qFormat/>
    <w:rsid w:val="00FD4476"/>
    <w:pPr>
      <w:widowControl w:val="0"/>
      <w:suppressAutoHyphens/>
      <w:textAlignment w:val="baseline"/>
    </w:pPr>
    <w:rPr>
      <w:rFonts w:ascii="Times New Roman" w:eastAsia="SimSun" w:hAnsi="Times New Roman" w:cs="Mangal"/>
      <w:kern w:val="2"/>
      <w:sz w:val="24"/>
      <w:szCs w:val="24"/>
      <w:lang w:eastAsia="zh-CN" w:bidi="hi-IN"/>
    </w:rPr>
  </w:style>
  <w:style w:type="paragraph" w:styleId="Tekstpodstawowy2">
    <w:name w:val="Body Text 2"/>
    <w:basedOn w:val="Normalny"/>
    <w:link w:val="Tekstpodstawowy2Znak"/>
    <w:uiPriority w:val="99"/>
    <w:semiHidden/>
    <w:unhideWhenUsed/>
    <w:qFormat/>
    <w:rsid w:val="00FD4476"/>
    <w:pPr>
      <w:spacing w:after="120" w:line="480" w:lineRule="auto"/>
      <w:contextualSpacing/>
      <w:jc w:val="both"/>
    </w:pPr>
  </w:style>
  <w:style w:type="paragraph" w:styleId="Tekstpodstawowywcity">
    <w:name w:val="Body Text Indent"/>
    <w:basedOn w:val="Normalny"/>
    <w:link w:val="TekstpodstawowywcityZnak"/>
    <w:uiPriority w:val="99"/>
    <w:semiHidden/>
    <w:unhideWhenUsed/>
    <w:rsid w:val="00FD4476"/>
    <w:pPr>
      <w:spacing w:after="120" w:line="276" w:lineRule="auto"/>
      <w:ind w:left="283"/>
      <w:contextualSpacing/>
      <w:jc w:val="both"/>
    </w:pPr>
  </w:style>
  <w:style w:type="paragraph" w:customStyle="1" w:styleId="tresc">
    <w:name w:val="tresc"/>
    <w:basedOn w:val="Normalny"/>
    <w:qFormat/>
    <w:rsid w:val="00FD4476"/>
    <w:pPr>
      <w:spacing w:beforeAutospacing="1" w:afterAutospacing="1" w:line="240" w:lineRule="auto"/>
    </w:pPr>
    <w:rPr>
      <w:rFonts w:ascii="Times New Roman" w:eastAsia="Times New Roman" w:hAnsi="Times New Roman" w:cs="Times New Roman"/>
      <w:sz w:val="24"/>
      <w:szCs w:val="24"/>
      <w:lang w:eastAsia="pl-PL"/>
    </w:rPr>
  </w:style>
  <w:style w:type="paragraph" w:styleId="Poprawka">
    <w:name w:val="Revision"/>
    <w:uiPriority w:val="99"/>
    <w:semiHidden/>
    <w:qFormat/>
    <w:rsid w:val="00FD4476"/>
  </w:style>
  <w:style w:type="paragraph" w:customStyle="1" w:styleId="aardo">
    <w:name w:val="aaźródło"/>
    <w:next w:val="Normalny"/>
    <w:autoRedefine/>
    <w:qFormat/>
    <w:rsid w:val="00FD4476"/>
    <w:pPr>
      <w:spacing w:before="120" w:after="240"/>
    </w:pPr>
    <w:rPr>
      <w:rFonts w:ascii="Times New Roman" w:eastAsia="Calibri" w:hAnsi="Times New Roman"/>
      <w:color w:val="5B9BD5" w:themeColor="accent1"/>
      <w:sz w:val="18"/>
    </w:rPr>
  </w:style>
  <w:style w:type="paragraph" w:customStyle="1" w:styleId="aapodpis">
    <w:name w:val="aapodpis"/>
    <w:next w:val="Normalny"/>
    <w:autoRedefine/>
    <w:qFormat/>
    <w:rsid w:val="00FD4476"/>
    <w:pPr>
      <w:keepNext/>
      <w:spacing w:before="240" w:after="120" w:line="276" w:lineRule="auto"/>
    </w:pPr>
    <w:rPr>
      <w:rFonts w:ascii="Times New Roman" w:eastAsia="Calibri" w:hAnsi="Times New Roman"/>
      <w:b/>
      <w:color w:val="5B9BD5" w:themeColor="accent1"/>
      <w:sz w:val="18"/>
    </w:rPr>
  </w:style>
  <w:style w:type="paragraph" w:customStyle="1" w:styleId="lead">
    <w:name w:val="lead"/>
    <w:basedOn w:val="Normalny"/>
    <w:qFormat/>
    <w:rsid w:val="00FD4476"/>
    <w:pPr>
      <w:spacing w:beforeAutospacing="1" w:afterAutospacing="1" w:line="240" w:lineRule="auto"/>
    </w:pPr>
    <w:rPr>
      <w:rFonts w:ascii="Times New Roman" w:eastAsia="Times New Roman" w:hAnsi="Times New Roman" w:cs="Times New Roman"/>
      <w:szCs w:val="24"/>
      <w:lang w:eastAsia="pl-PL"/>
    </w:rPr>
  </w:style>
  <w:style w:type="paragraph" w:styleId="Zagicieodgryformularza">
    <w:name w:val="HTML Top of Form"/>
    <w:basedOn w:val="Normalny"/>
    <w:next w:val="Normalny"/>
    <w:link w:val="ZagicieodgryformularzaZnak"/>
    <w:uiPriority w:val="99"/>
    <w:semiHidden/>
    <w:unhideWhenUsed/>
    <w:qFormat/>
    <w:rsid w:val="00FD4476"/>
    <w:pPr>
      <w:pBdr>
        <w:bottom w:val="single" w:sz="6" w:space="1" w:color="000000"/>
      </w:pBdr>
      <w:spacing w:after="0" w:line="240" w:lineRule="auto"/>
      <w:jc w:val="center"/>
    </w:pPr>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uiPriority w:val="99"/>
    <w:semiHidden/>
    <w:unhideWhenUsed/>
    <w:qFormat/>
    <w:rsid w:val="00FD4476"/>
    <w:pPr>
      <w:pBdr>
        <w:top w:val="single" w:sz="6" w:space="1" w:color="000000"/>
      </w:pBdr>
      <w:spacing w:after="0" w:line="240" w:lineRule="auto"/>
      <w:jc w:val="center"/>
    </w:pPr>
    <w:rPr>
      <w:rFonts w:ascii="Arial" w:eastAsia="Times New Roman" w:hAnsi="Arial" w:cs="Arial"/>
      <w:vanish/>
      <w:sz w:val="16"/>
      <w:szCs w:val="16"/>
      <w:lang w:eastAsia="pl-PL"/>
    </w:rPr>
  </w:style>
  <w:style w:type="paragraph" w:customStyle="1" w:styleId="aaapodpis">
    <w:name w:val="aaapodpis"/>
    <w:basedOn w:val="Legenda"/>
    <w:next w:val="Normalny"/>
    <w:qFormat/>
    <w:rsid w:val="00FD4476"/>
    <w:pPr>
      <w:keepNext/>
      <w:spacing w:before="240" w:after="120"/>
      <w:contextualSpacing/>
    </w:pPr>
    <w:rPr>
      <w:b/>
      <w:bCs/>
      <w:i w:val="0"/>
      <w:iCs w:val="0"/>
      <w:color w:val="5B9BD5" w:themeColor="accent1"/>
      <w:sz w:val="20"/>
    </w:rPr>
  </w:style>
  <w:style w:type="paragraph" w:customStyle="1" w:styleId="aatekstt">
    <w:name w:val="aatekstt"/>
    <w:basedOn w:val="Bezodstpw"/>
    <w:qFormat/>
    <w:rsid w:val="00FD4476"/>
    <w:pPr>
      <w:suppressAutoHyphens/>
      <w:spacing w:line="360" w:lineRule="auto"/>
      <w:ind w:firstLine="432"/>
      <w:jc w:val="both"/>
    </w:pPr>
    <w:rPr>
      <w:rFonts w:ascii="Times New Roman" w:eastAsia="Arial" w:hAnsi="Times New Roman" w:cs="Times New Roman"/>
      <w:sz w:val="24"/>
      <w:lang w:eastAsia="ar-SA"/>
    </w:rPr>
  </w:style>
  <w:style w:type="paragraph" w:customStyle="1" w:styleId="gallery-link-list-element">
    <w:name w:val="gallery-link-list-element"/>
    <w:basedOn w:val="Normalny"/>
    <w:qFormat/>
    <w:rsid w:val="00FD447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Listapunktowana31">
    <w:name w:val="Lista punktowana 31"/>
    <w:basedOn w:val="Normalny"/>
    <w:qFormat/>
    <w:rsid w:val="00FD4476"/>
    <w:pPr>
      <w:suppressAutoHyphens/>
      <w:spacing w:after="0" w:line="360" w:lineRule="auto"/>
      <w:ind w:left="356" w:hanging="356"/>
      <w:jc w:val="both"/>
    </w:pPr>
    <w:rPr>
      <w:rFonts w:ascii="Verdana" w:eastAsia="Times New Roman" w:hAnsi="Verdana" w:cs="Verdana"/>
      <w:sz w:val="20"/>
      <w:szCs w:val="20"/>
      <w:lang w:eastAsia="ar-SA"/>
    </w:rPr>
  </w:style>
  <w:style w:type="paragraph" w:customStyle="1" w:styleId="Lista21">
    <w:name w:val="Lista 21"/>
    <w:basedOn w:val="Normalny"/>
    <w:qFormat/>
    <w:rsid w:val="00FD4476"/>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msonormal0">
    <w:name w:val="msonormal"/>
    <w:basedOn w:val="Normalny"/>
    <w:qFormat/>
    <w:rsid w:val="00FD447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qFormat/>
    <w:rsid w:val="00FD447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qFormat/>
    <w:rsid w:val="00FD4476"/>
    <w:pPr>
      <w:pBdr>
        <w:top w:val="single" w:sz="4" w:space="0" w:color="000000"/>
        <w:left w:val="single" w:sz="4" w:space="0" w:color="000000"/>
        <w:bottom w:val="single" w:sz="4" w:space="0" w:color="000000"/>
        <w:right w:val="single" w:sz="4" w:space="0" w:color="000000"/>
      </w:pBdr>
      <w:shd w:val="clear" w:color="000000" w:fill="D3D3D3"/>
      <w:spacing w:beforeAutospacing="1"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qFormat/>
    <w:rsid w:val="00FD447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qFormat/>
    <w:rsid w:val="00FD4476"/>
    <w:pPr>
      <w:spacing w:beforeAutospacing="1" w:afterAutospacing="1" w:line="240" w:lineRule="auto"/>
      <w:jc w:val="center"/>
    </w:pPr>
    <w:rPr>
      <w:rFonts w:ascii="Times New Roman" w:eastAsia="Times New Roman" w:hAnsi="Times New Roman" w:cs="Times New Roman"/>
      <w:sz w:val="24"/>
      <w:szCs w:val="24"/>
      <w:lang w:eastAsia="pl-PL"/>
    </w:rPr>
  </w:style>
  <w:style w:type="paragraph" w:customStyle="1" w:styleId="xl70">
    <w:name w:val="xl70"/>
    <w:basedOn w:val="Normalny"/>
    <w:qFormat/>
    <w:rsid w:val="00FD4476"/>
    <w:pPr>
      <w:spacing w:beforeAutospacing="1" w:afterAutospacing="1" w:line="240" w:lineRule="auto"/>
      <w:jc w:val="center"/>
    </w:pPr>
    <w:rPr>
      <w:rFonts w:ascii="Times New Roman" w:eastAsia="Times New Roman" w:hAnsi="Times New Roman" w:cs="Times New Roman"/>
      <w:sz w:val="24"/>
      <w:szCs w:val="24"/>
      <w:lang w:eastAsia="pl-PL"/>
    </w:rPr>
  </w:style>
  <w:style w:type="paragraph" w:customStyle="1" w:styleId="xl71">
    <w:name w:val="xl71"/>
    <w:basedOn w:val="Normalny"/>
    <w:qFormat/>
    <w:rsid w:val="00FD4476"/>
    <w:pPr>
      <w:pBdr>
        <w:top w:val="single" w:sz="4" w:space="0" w:color="000000"/>
        <w:left w:val="single" w:sz="4" w:space="0" w:color="000000"/>
        <w:bottom w:val="single" w:sz="4" w:space="0" w:color="000000"/>
        <w:right w:val="single" w:sz="4" w:space="0" w:color="000000"/>
      </w:pBdr>
      <w:shd w:val="clear" w:color="000000" w:fill="D3D3D3"/>
      <w:spacing w:beforeAutospacing="1"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72">
    <w:name w:val="xl72"/>
    <w:basedOn w:val="Normalny"/>
    <w:qFormat/>
    <w:rsid w:val="00FD4476"/>
    <w:pPr>
      <w:spacing w:beforeAutospacing="1" w:afterAutospacing="1" w:line="240" w:lineRule="auto"/>
      <w:jc w:val="center"/>
    </w:pPr>
    <w:rPr>
      <w:rFonts w:ascii="Times New Roman" w:eastAsia="Times New Roman" w:hAnsi="Times New Roman" w:cs="Times New Roman"/>
      <w:i/>
      <w:iCs/>
      <w:sz w:val="24"/>
      <w:szCs w:val="24"/>
      <w:lang w:eastAsia="pl-PL"/>
    </w:rPr>
  </w:style>
  <w:style w:type="paragraph" w:customStyle="1" w:styleId="xl73">
    <w:name w:val="xl73"/>
    <w:basedOn w:val="Normalny"/>
    <w:qFormat/>
    <w:rsid w:val="00FD4476"/>
    <w:pPr>
      <w:spacing w:beforeAutospacing="1" w:afterAutospacing="1" w:line="240" w:lineRule="auto"/>
    </w:pPr>
    <w:rPr>
      <w:rFonts w:ascii="Times New Roman" w:eastAsia="Times New Roman" w:hAnsi="Times New Roman" w:cs="Times New Roman"/>
      <w:i/>
      <w:iCs/>
      <w:sz w:val="24"/>
      <w:szCs w:val="24"/>
      <w:lang w:eastAsia="pl-PL"/>
    </w:rPr>
  </w:style>
  <w:style w:type="paragraph" w:customStyle="1" w:styleId="xl74">
    <w:name w:val="xl74"/>
    <w:basedOn w:val="Normalny"/>
    <w:qFormat/>
    <w:rsid w:val="00FD4476"/>
    <w:pPr>
      <w:pBdr>
        <w:top w:val="single" w:sz="4" w:space="0" w:color="000000"/>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qFormat/>
    <w:rsid w:val="00FD4476"/>
    <w:pPr>
      <w:pBdr>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qFormat/>
    <w:rsid w:val="00FD4476"/>
    <w:pPr>
      <w:pBdr>
        <w:top w:val="single" w:sz="4" w:space="0" w:color="000000"/>
        <w:left w:val="single" w:sz="4" w:space="0" w:color="000000"/>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qFormat/>
    <w:rsid w:val="00FD4476"/>
    <w:pPr>
      <w:pBdr>
        <w:left w:val="single" w:sz="4" w:space="0" w:color="000000"/>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8">
    <w:name w:val="xl78"/>
    <w:basedOn w:val="Normalny"/>
    <w:qFormat/>
    <w:rsid w:val="00FD4476"/>
    <w:pPr>
      <w:pBdr>
        <w:left w:val="single" w:sz="4" w:space="0" w:color="000000"/>
        <w:bottom w:val="single" w:sz="4" w:space="0" w:color="000000"/>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9">
    <w:name w:val="xl79"/>
    <w:basedOn w:val="Normalny"/>
    <w:qFormat/>
    <w:rsid w:val="00FD4476"/>
    <w:pPr>
      <w:pBdr>
        <w:top w:val="single" w:sz="4" w:space="0" w:color="000000"/>
        <w:left w:val="single" w:sz="4" w:space="0" w:color="000000"/>
        <w:bottom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0">
    <w:name w:val="xl80"/>
    <w:basedOn w:val="Normalny"/>
    <w:qFormat/>
    <w:rsid w:val="00FD4476"/>
    <w:pPr>
      <w:pBdr>
        <w:top w:val="single" w:sz="4" w:space="0" w:color="000000"/>
        <w:bottom w:val="single" w:sz="4" w:space="0" w:color="000000"/>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64">
    <w:name w:val="xl64"/>
    <w:basedOn w:val="Normalny"/>
    <w:qFormat/>
    <w:rsid w:val="00FD4476"/>
    <w:pPr>
      <w:pBdr>
        <w:top w:val="single" w:sz="4" w:space="0" w:color="000000"/>
        <w:left w:val="single" w:sz="4" w:space="0" w:color="000000"/>
        <w:bottom w:val="single" w:sz="4" w:space="0" w:color="000000"/>
        <w:right w:val="single" w:sz="4" w:space="0" w:color="000000"/>
      </w:pBdr>
      <w:shd w:val="clear" w:color="000000" w:fill="D3D3D3"/>
      <w:spacing w:beforeAutospacing="1"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Zawartoramki">
    <w:name w:val="Zawartość ramki"/>
    <w:basedOn w:val="Normalny"/>
    <w:qFormat/>
  </w:style>
  <w:style w:type="numbering" w:customStyle="1" w:styleId="Styl1">
    <w:name w:val="Styl1"/>
    <w:uiPriority w:val="99"/>
    <w:qFormat/>
    <w:rsid w:val="00FD4476"/>
  </w:style>
  <w:style w:type="table" w:styleId="Tabela-Siatka">
    <w:name w:val="Table Grid"/>
    <w:basedOn w:val="Standardowy"/>
    <w:uiPriority w:val="59"/>
    <w:rsid w:val="0086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
    <w:name w:val="Grid Table 4 Accent 5"/>
    <w:basedOn w:val="Standardowy"/>
    <w:uiPriority w:val="49"/>
    <w:rsid w:val="008612B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
    <w:name w:val="Grid Table 5 Dark Accent 5"/>
    <w:basedOn w:val="Standardowy"/>
    <w:uiPriority w:val="50"/>
    <w:rsid w:val="008612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PlainTable4">
    <w:name w:val="Plain Table 4"/>
    <w:basedOn w:val="Standardowy"/>
    <w:uiPriority w:val="44"/>
    <w:rsid w:val="008612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5">
    <w:name w:val="List Table 4 Accent 5"/>
    <w:basedOn w:val="Standardowy"/>
    <w:uiPriority w:val="49"/>
    <w:rsid w:val="008612B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5">
    <w:name w:val="List Table 3 Accent 5"/>
    <w:basedOn w:val="Standardowy"/>
    <w:uiPriority w:val="48"/>
    <w:rsid w:val="008612B2"/>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Jasnecieniowanieakcent11">
    <w:name w:val="Jasne cieniowanie — akcent 11"/>
    <w:basedOn w:val="Standardowy"/>
    <w:uiPriority w:val="60"/>
    <w:rsid w:val="00FD447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Jasnecieniowanieakcent12">
    <w:name w:val="Jasne cieniowanie — akcent 12"/>
    <w:basedOn w:val="Standardowy"/>
    <w:uiPriority w:val="60"/>
    <w:rsid w:val="00FD447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Jasnecieniowanieakcent13">
    <w:name w:val="Jasne cieniowanie — akcent 13"/>
    <w:basedOn w:val="Standardowy"/>
    <w:uiPriority w:val="60"/>
    <w:rsid w:val="00FD447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Jasnecieniowanieakcent14">
    <w:name w:val="Jasne cieniowanie — akcent 14"/>
    <w:basedOn w:val="Standardowy"/>
    <w:uiPriority w:val="60"/>
    <w:rsid w:val="00FD447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rednialista1akcent11">
    <w:name w:val="Średnia lista 1 — akcent 11"/>
    <w:basedOn w:val="Standardowy"/>
    <w:uiPriority w:val="65"/>
    <w:rsid w:val="00FD4476"/>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rsid w:val="00FD4476"/>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Jasnecieniowanieakcent2">
    <w:name w:val="Light Shading Accent 2"/>
    <w:basedOn w:val="Standardowy"/>
    <w:uiPriority w:val="60"/>
    <w:rsid w:val="00FD447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FD4476"/>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style>
  <w:style w:type="paragraph" w:styleId="Nagwek1">
    <w:name w:val="heading 1"/>
    <w:basedOn w:val="Normalny"/>
    <w:next w:val="Normalny"/>
    <w:link w:val="Nagwek1Znak"/>
    <w:uiPriority w:val="9"/>
    <w:qFormat/>
    <w:rsid w:val="008612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8612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8612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FD4476"/>
    <w:pPr>
      <w:keepNext/>
      <w:keepLines/>
      <w:spacing w:before="40" w:after="0" w:line="276" w:lineRule="auto"/>
      <w:contextualSpacing/>
      <w:jc w:val="both"/>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qFormat/>
    <w:rsid w:val="008612B2"/>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qFormat/>
    <w:rsid w:val="008612B2"/>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qFormat/>
    <w:rsid w:val="008612B2"/>
    <w:rPr>
      <w:rFonts w:asciiTheme="majorHAnsi" w:eastAsiaTheme="majorEastAsia" w:hAnsiTheme="majorHAnsi" w:cstheme="majorBidi"/>
      <w:color w:val="1F4D78" w:themeColor="accent1" w:themeShade="7F"/>
      <w:sz w:val="24"/>
      <w:szCs w:val="24"/>
    </w:rPr>
  </w:style>
  <w:style w:type="character" w:customStyle="1" w:styleId="BezodstpwZnak">
    <w:name w:val="Bez odstępów Znak"/>
    <w:basedOn w:val="Domylnaczcionkaakapitu"/>
    <w:link w:val="Bezodstpw"/>
    <w:uiPriority w:val="1"/>
    <w:qFormat/>
    <w:rsid w:val="008612B2"/>
    <w:rPr>
      <w:rFonts w:eastAsiaTheme="minorEastAsia"/>
      <w:lang w:eastAsia="pl-PL"/>
    </w:rPr>
  </w:style>
  <w:style w:type="character" w:customStyle="1" w:styleId="TekstprzypisudolnegoZnak">
    <w:name w:val="Tekst przypisu dolnego Znak"/>
    <w:basedOn w:val="Domylnaczcionkaakapitu"/>
    <w:link w:val="Tekstprzypisudolnego"/>
    <w:uiPriority w:val="99"/>
    <w:qFormat/>
    <w:rsid w:val="008612B2"/>
    <w:rPr>
      <w:sz w:val="20"/>
      <w:szCs w:val="20"/>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unhideWhenUsed/>
    <w:qFormat/>
    <w:rsid w:val="008612B2"/>
    <w:rPr>
      <w:vertAlign w:val="superscript"/>
    </w:rPr>
  </w:style>
  <w:style w:type="character" w:customStyle="1" w:styleId="czeinternetowe">
    <w:name w:val="Łącze internetowe"/>
    <w:basedOn w:val="Domylnaczcionkaakapitu"/>
    <w:uiPriority w:val="99"/>
    <w:unhideWhenUsed/>
    <w:rsid w:val="008612B2"/>
    <w:rPr>
      <w:color w:val="0563C1" w:themeColor="hyperlink"/>
      <w:u w:val="single"/>
    </w:rPr>
  </w:style>
  <w:style w:type="character" w:customStyle="1" w:styleId="NagwekZnak">
    <w:name w:val="Nagłówek Znak"/>
    <w:basedOn w:val="Domylnaczcionkaakapitu"/>
    <w:link w:val="Nagwek"/>
    <w:uiPriority w:val="99"/>
    <w:qFormat/>
    <w:rsid w:val="008612B2"/>
  </w:style>
  <w:style w:type="character" w:customStyle="1" w:styleId="StopkaZnak">
    <w:name w:val="Stopka Znak"/>
    <w:basedOn w:val="Domylnaczcionkaakapitu"/>
    <w:link w:val="Stopka"/>
    <w:uiPriority w:val="99"/>
    <w:qFormat/>
    <w:rsid w:val="008612B2"/>
  </w:style>
  <w:style w:type="character" w:customStyle="1" w:styleId="fontstyle01">
    <w:name w:val="fontstyle01"/>
    <w:basedOn w:val="Domylnaczcionkaakapitu"/>
    <w:qFormat/>
    <w:rsid w:val="008612B2"/>
    <w:rPr>
      <w:rFonts w:ascii="Calibri" w:hAnsi="Calibri" w:cs="Calibri"/>
      <w:b w:val="0"/>
      <w:bCs w:val="0"/>
      <w:i w:val="0"/>
      <w:iCs w:val="0"/>
      <w:color w:val="000000"/>
      <w:sz w:val="22"/>
      <w:szCs w:val="22"/>
    </w:rPr>
  </w:style>
  <w:style w:type="character" w:customStyle="1" w:styleId="fontstyle21">
    <w:name w:val="fontstyle21"/>
    <w:basedOn w:val="Domylnaczcionkaakapitu"/>
    <w:qFormat/>
    <w:rsid w:val="008612B2"/>
    <w:rPr>
      <w:rFonts w:ascii="SymbolMT" w:hAnsi="SymbolMT"/>
      <w:b w:val="0"/>
      <w:bCs w:val="0"/>
      <w:i w:val="0"/>
      <w:iCs w:val="0"/>
      <w:color w:val="000000"/>
      <w:sz w:val="22"/>
      <w:szCs w:val="22"/>
    </w:rPr>
  </w:style>
  <w:style w:type="character" w:customStyle="1" w:styleId="fontstyle31">
    <w:name w:val="fontstyle31"/>
    <w:basedOn w:val="Domylnaczcionkaakapitu"/>
    <w:qFormat/>
    <w:rsid w:val="008612B2"/>
    <w:rPr>
      <w:rFonts w:ascii="Calibri-Bold" w:hAnsi="Calibri-Bold"/>
      <w:b/>
      <w:bCs/>
      <w:i w:val="0"/>
      <w:iCs w:val="0"/>
      <w:color w:val="000000"/>
      <w:sz w:val="22"/>
      <w:szCs w:val="22"/>
    </w:rPr>
  </w:style>
  <w:style w:type="character" w:customStyle="1" w:styleId="Nierozpoznanawzmianka1">
    <w:name w:val="Nierozpoznana wzmianka1"/>
    <w:basedOn w:val="Domylnaczcionkaakapitu"/>
    <w:uiPriority w:val="99"/>
    <w:semiHidden/>
    <w:unhideWhenUsed/>
    <w:qFormat/>
    <w:rsid w:val="00FD4476"/>
  </w:style>
  <w:style w:type="character" w:customStyle="1" w:styleId="TekstkomentarzaZnak">
    <w:name w:val="Tekst komentarza Znak"/>
    <w:basedOn w:val="Domylnaczcionkaakapitu"/>
    <w:link w:val="Tekstkomentarza"/>
    <w:qFormat/>
    <w:rsid w:val="008612B2"/>
    <w:rPr>
      <w:sz w:val="20"/>
      <w:szCs w:val="20"/>
    </w:rPr>
  </w:style>
  <w:style w:type="character" w:customStyle="1" w:styleId="TematkomentarzaZnak">
    <w:name w:val="Temat komentarza Znak"/>
    <w:basedOn w:val="TekstkomentarzaZnak"/>
    <w:link w:val="Tematkomentarza"/>
    <w:uiPriority w:val="99"/>
    <w:semiHidden/>
    <w:qFormat/>
    <w:rsid w:val="008612B2"/>
    <w:rPr>
      <w:b/>
      <w:bCs/>
      <w:sz w:val="20"/>
      <w:szCs w:val="20"/>
    </w:rPr>
  </w:style>
  <w:style w:type="character" w:customStyle="1" w:styleId="Nagwek4Znak">
    <w:name w:val="Nagłówek 4 Znak"/>
    <w:basedOn w:val="Domylnaczcionkaakapitu"/>
    <w:link w:val="Nagwek4"/>
    <w:uiPriority w:val="9"/>
    <w:qFormat/>
    <w:rsid w:val="00FD4476"/>
    <w:rPr>
      <w:rFonts w:asciiTheme="majorHAnsi" w:eastAsiaTheme="majorEastAsia" w:hAnsiTheme="majorHAnsi" w:cstheme="majorBidi"/>
      <w:i/>
      <w:iCs/>
      <w:color w:val="2E74B5" w:themeColor="accent1" w:themeShade="BF"/>
    </w:rPr>
  </w:style>
  <w:style w:type="character" w:customStyle="1" w:styleId="TekstdymkaZnak">
    <w:name w:val="Tekst dymka Znak"/>
    <w:basedOn w:val="Domylnaczcionkaakapitu"/>
    <w:link w:val="Tekstdymka"/>
    <w:uiPriority w:val="99"/>
    <w:semiHidden/>
    <w:qFormat/>
    <w:rsid w:val="00FD4476"/>
    <w:rPr>
      <w:rFonts w:ascii="Tahoma" w:hAnsi="Tahoma" w:cs="Tahoma"/>
      <w:sz w:val="16"/>
      <w:szCs w:val="16"/>
    </w:rPr>
  </w:style>
  <w:style w:type="character" w:customStyle="1" w:styleId="apple-converted-space">
    <w:name w:val="apple-converted-space"/>
    <w:basedOn w:val="Domylnaczcionkaakapitu"/>
    <w:qFormat/>
    <w:rsid w:val="00FD4476"/>
  </w:style>
  <w:style w:type="character" w:styleId="Pogrubienie">
    <w:name w:val="Strong"/>
    <w:basedOn w:val="Domylnaczcionkaakapitu"/>
    <w:uiPriority w:val="22"/>
    <w:qFormat/>
    <w:rsid w:val="00FD4476"/>
    <w:rPr>
      <w:b/>
      <w:bCs/>
    </w:rPr>
  </w:style>
  <w:style w:type="character" w:styleId="UyteHipercze">
    <w:name w:val="FollowedHyperlink"/>
    <w:basedOn w:val="Domylnaczcionkaakapitu"/>
    <w:uiPriority w:val="99"/>
    <w:semiHidden/>
    <w:unhideWhenUsed/>
    <w:qFormat/>
    <w:rsid w:val="00FD4476"/>
    <w:rPr>
      <w:color w:val="954F72" w:themeColor="followedHyperlink"/>
      <w:u w:val="single"/>
    </w:rPr>
  </w:style>
  <w:style w:type="character" w:customStyle="1" w:styleId="textexposedshow">
    <w:name w:val="text_exposed_show"/>
    <w:basedOn w:val="Domylnaczcionkaakapitu"/>
    <w:qFormat/>
    <w:rsid w:val="00FD4476"/>
  </w:style>
  <w:style w:type="character" w:customStyle="1" w:styleId="newssingledate">
    <w:name w:val="news_single_date"/>
    <w:basedOn w:val="Domylnaczcionkaakapitu"/>
    <w:qFormat/>
    <w:rsid w:val="00FD4476"/>
  </w:style>
  <w:style w:type="character" w:customStyle="1" w:styleId="HTML-wstpniesformatowanyZnak">
    <w:name w:val="HTML - wstępnie sformatowany Znak"/>
    <w:basedOn w:val="Domylnaczcionkaakapitu"/>
    <w:uiPriority w:val="99"/>
    <w:qFormat/>
    <w:rsid w:val="00FD4476"/>
    <w:rPr>
      <w:rFonts w:ascii="Courier New" w:eastAsia="Times New Roman" w:hAnsi="Courier New" w:cs="Courier New"/>
      <w:sz w:val="20"/>
      <w:szCs w:val="20"/>
      <w:lang w:eastAsia="pl-PL"/>
    </w:rPr>
  </w:style>
  <w:style w:type="character" w:customStyle="1" w:styleId="label-2">
    <w:name w:val="label-2"/>
    <w:basedOn w:val="Domylnaczcionkaakapitu"/>
    <w:qFormat/>
    <w:rsid w:val="00FD4476"/>
  </w:style>
  <w:style w:type="character" w:customStyle="1" w:styleId="os">
    <w:name w:val="os"/>
    <w:basedOn w:val="Domylnaczcionkaakapitu"/>
    <w:qFormat/>
    <w:rsid w:val="00FD4476"/>
  </w:style>
  <w:style w:type="character" w:customStyle="1" w:styleId="separator">
    <w:name w:val="separator"/>
    <w:basedOn w:val="Domylnaczcionkaakapitu"/>
    <w:qFormat/>
    <w:rsid w:val="00FD4476"/>
  </w:style>
  <w:style w:type="character" w:customStyle="1" w:styleId="dzialanie">
    <w:name w:val="dzialanie"/>
    <w:basedOn w:val="Domylnaczcionkaakapitu"/>
    <w:qFormat/>
    <w:rsid w:val="00FD4476"/>
  </w:style>
  <w:style w:type="character" w:customStyle="1" w:styleId="Wyrnienie">
    <w:name w:val="Wyróżnienie"/>
    <w:basedOn w:val="Domylnaczcionkaakapitu"/>
    <w:uiPriority w:val="20"/>
    <w:qFormat/>
    <w:rsid w:val="00FD4476"/>
    <w:rPr>
      <w:i/>
      <w:iCs/>
    </w:rPr>
  </w:style>
  <w:style w:type="character" w:styleId="Numerstrony">
    <w:name w:val="page number"/>
    <w:basedOn w:val="Domylnaczcionkaakapitu"/>
    <w:qFormat/>
    <w:rsid w:val="00FD4476"/>
    <w:rPr>
      <w:rFonts w:cs="Times New Roman"/>
    </w:rPr>
  </w:style>
  <w:style w:type="character" w:customStyle="1" w:styleId="TekstprzypisukocowegoZnak">
    <w:name w:val="Tekst przypisu końcowego Znak"/>
    <w:basedOn w:val="Domylnaczcionkaakapitu"/>
    <w:link w:val="Tekstprzypisukocowego"/>
    <w:uiPriority w:val="99"/>
    <w:semiHidden/>
    <w:qFormat/>
    <w:rsid w:val="00FD4476"/>
    <w:rPr>
      <w:sz w:val="20"/>
      <w:szCs w:val="20"/>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FD4476"/>
    <w:rPr>
      <w:vertAlign w:val="superscript"/>
    </w:rPr>
  </w:style>
  <w:style w:type="character" w:customStyle="1" w:styleId="TekstpodstawowyZnak">
    <w:name w:val="Tekst podstawowy Znak"/>
    <w:basedOn w:val="Domylnaczcionkaakapitu"/>
    <w:link w:val="Tekstpodstawowy"/>
    <w:semiHidden/>
    <w:qFormat/>
    <w:rsid w:val="00FD4476"/>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semiHidden/>
    <w:qFormat/>
    <w:rsid w:val="00FD4476"/>
  </w:style>
  <w:style w:type="character" w:customStyle="1" w:styleId="TekstpodstawowywcityZnak">
    <w:name w:val="Tekst podstawowy wcięty Znak"/>
    <w:basedOn w:val="Domylnaczcionkaakapitu"/>
    <w:link w:val="Tekstpodstawowywcity"/>
    <w:uiPriority w:val="99"/>
    <w:semiHidden/>
    <w:qFormat/>
    <w:rsid w:val="00FD4476"/>
  </w:style>
  <w:style w:type="character" w:styleId="Odwoaniedokomentarza">
    <w:name w:val="annotation reference"/>
    <w:basedOn w:val="Domylnaczcionkaakapitu"/>
    <w:uiPriority w:val="99"/>
    <w:semiHidden/>
    <w:unhideWhenUsed/>
    <w:qFormat/>
    <w:rsid w:val="00FD4476"/>
    <w:rPr>
      <w:sz w:val="16"/>
      <w:szCs w:val="16"/>
    </w:rPr>
  </w:style>
  <w:style w:type="character" w:styleId="Wyrnieniedelikatne">
    <w:name w:val="Subtle Emphasis"/>
    <w:basedOn w:val="Domylnaczcionkaakapitu"/>
    <w:uiPriority w:val="19"/>
    <w:qFormat/>
    <w:rsid w:val="00FD4476"/>
    <w:rPr>
      <w:i/>
      <w:iCs/>
      <w:color w:val="808080" w:themeColor="text1" w:themeTint="7F"/>
    </w:rPr>
  </w:style>
  <w:style w:type="character" w:customStyle="1" w:styleId="ZagicieodgryformularzaZnak">
    <w:name w:val="Zagięcie od góry formularza Znak"/>
    <w:basedOn w:val="Domylnaczcionkaakapitu"/>
    <w:link w:val="Zagicieodgryformularza"/>
    <w:uiPriority w:val="99"/>
    <w:semiHidden/>
    <w:qFormat/>
    <w:rsid w:val="00FD4476"/>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qFormat/>
    <w:rsid w:val="00FD4476"/>
    <w:rPr>
      <w:rFonts w:ascii="Arial" w:eastAsia="Times New Roman" w:hAnsi="Arial" w:cs="Arial"/>
      <w:vanish/>
      <w:sz w:val="16"/>
      <w:szCs w:val="16"/>
      <w:lang w:eastAsia="pl-PL"/>
    </w:rPr>
  </w:style>
  <w:style w:type="character" w:customStyle="1" w:styleId="teksttZnak">
    <w:name w:val="tekstt Znak"/>
    <w:basedOn w:val="Domylnaczcionkaakapitu"/>
    <w:qFormat/>
    <w:rsid w:val="00FD4476"/>
    <w:rPr>
      <w:rFonts w:ascii="Times New Roman" w:eastAsia="Arial" w:hAnsi="Times New Roman" w:cs="Times New Roman"/>
      <w:sz w:val="24"/>
      <w:lang w:eastAsia="ar-SA"/>
    </w:rPr>
  </w:style>
  <w:style w:type="character" w:customStyle="1" w:styleId="TekstkomentarzaZnak1">
    <w:name w:val="Tekst komentarza Znak1"/>
    <w:basedOn w:val="Domylnaczcionkaakapitu"/>
    <w:uiPriority w:val="99"/>
    <w:semiHidden/>
    <w:qFormat/>
    <w:rsid w:val="00BC56BE"/>
    <w:rPr>
      <w:sz w:val="20"/>
      <w:szCs w:val="20"/>
    </w:rPr>
  </w:style>
  <w:style w:type="character" w:customStyle="1" w:styleId="TematkomentarzaZnak1">
    <w:name w:val="Temat komentarza Znak1"/>
    <w:basedOn w:val="TekstkomentarzaZnak1"/>
    <w:uiPriority w:val="99"/>
    <w:semiHidden/>
    <w:qFormat/>
    <w:rsid w:val="00BC56BE"/>
    <w:rPr>
      <w:b/>
      <w:bCs/>
      <w:sz w:val="20"/>
      <w:szCs w:val="20"/>
    </w:rPr>
  </w:style>
  <w:style w:type="character" w:customStyle="1" w:styleId="czeindeksu">
    <w:name w:val="Łącze indeksu"/>
    <w:qFormat/>
  </w:style>
  <w:style w:type="character" w:customStyle="1" w:styleId="Znakiprzypiswdolnych">
    <w:name w:val="Znaki przypisów dolnych"/>
    <w:qFormat/>
  </w:style>
  <w:style w:type="character" w:customStyle="1" w:styleId="Znakiprzypiswkocowych">
    <w:name w:val="Znaki przypisów końcowych"/>
    <w:qFormat/>
  </w:style>
  <w:style w:type="paragraph" w:styleId="Nagwek">
    <w:name w:val="header"/>
    <w:basedOn w:val="Normalny"/>
    <w:next w:val="Tekstpodstawowy"/>
    <w:link w:val="NagwekZnak"/>
    <w:uiPriority w:val="99"/>
    <w:unhideWhenUsed/>
    <w:rsid w:val="008612B2"/>
    <w:pPr>
      <w:tabs>
        <w:tab w:val="center" w:pos="4536"/>
        <w:tab w:val="right" w:pos="9072"/>
      </w:tabs>
      <w:spacing w:after="0" w:line="240" w:lineRule="auto"/>
    </w:pPr>
  </w:style>
  <w:style w:type="paragraph" w:styleId="Tekstpodstawowy">
    <w:name w:val="Body Text"/>
    <w:basedOn w:val="Normalny"/>
    <w:link w:val="TekstpodstawowyZnak"/>
    <w:semiHidden/>
    <w:rsid w:val="00FD4476"/>
    <w:pPr>
      <w:spacing w:after="0" w:line="360" w:lineRule="auto"/>
      <w:jc w:val="both"/>
    </w:pPr>
    <w:rPr>
      <w:rFonts w:ascii="Times New Roman" w:eastAsia="Times New Roman" w:hAnsi="Times New Roman" w:cs="Times New Roman"/>
      <w:sz w:val="24"/>
      <w:szCs w:val="24"/>
      <w:lang w:eastAsia="pl-PL"/>
    </w:rPr>
  </w:style>
  <w:style w:type="paragraph" w:styleId="Lista">
    <w:name w:val="List"/>
    <w:basedOn w:val="Tekstpodstawowy"/>
    <w:rPr>
      <w:rFonts w:cs="Arial"/>
    </w:rPr>
  </w:style>
  <w:style w:type="paragraph" w:styleId="Legenda">
    <w:name w:val="caption"/>
    <w:basedOn w:val="Normalny"/>
    <w:next w:val="Normalny"/>
    <w:uiPriority w:val="35"/>
    <w:unhideWhenUsed/>
    <w:qFormat/>
    <w:rsid w:val="008612B2"/>
    <w:pPr>
      <w:spacing w:after="200" w:line="240" w:lineRule="auto"/>
    </w:pPr>
    <w:rPr>
      <w:i/>
      <w:iCs/>
      <w:color w:val="44546A" w:themeColor="text2"/>
      <w:sz w:val="18"/>
      <w:szCs w:val="18"/>
    </w:rPr>
  </w:style>
  <w:style w:type="paragraph" w:customStyle="1" w:styleId="Indeks">
    <w:name w:val="Indeks"/>
    <w:basedOn w:val="Normalny"/>
    <w:qFormat/>
    <w:pPr>
      <w:suppressLineNumbers/>
    </w:pPr>
    <w:rPr>
      <w:rFonts w:cs="Arial"/>
    </w:rPr>
  </w:style>
  <w:style w:type="paragraph" w:styleId="Bezodstpw">
    <w:name w:val="No Spacing"/>
    <w:link w:val="BezodstpwZnak"/>
    <w:uiPriority w:val="1"/>
    <w:qFormat/>
    <w:rsid w:val="008612B2"/>
    <w:rPr>
      <w:rFonts w:ascii="Calibri" w:eastAsiaTheme="minorEastAsia" w:hAnsi="Calibri"/>
      <w:lang w:eastAsia="pl-PL"/>
    </w:rPr>
  </w:style>
  <w:style w:type="paragraph" w:styleId="Akapitzlist">
    <w:name w:val="List Paragraph"/>
    <w:basedOn w:val="Normalny"/>
    <w:uiPriority w:val="34"/>
    <w:qFormat/>
    <w:rsid w:val="008612B2"/>
    <w:pPr>
      <w:ind w:left="720"/>
      <w:contextualSpacing/>
    </w:pPr>
  </w:style>
  <w:style w:type="paragraph" w:styleId="Tekstprzypisudolnego">
    <w:name w:val="footnote text"/>
    <w:basedOn w:val="Normalny"/>
    <w:link w:val="TekstprzypisudolnegoZnak"/>
    <w:uiPriority w:val="99"/>
    <w:unhideWhenUsed/>
    <w:rsid w:val="008612B2"/>
    <w:pPr>
      <w:spacing w:after="0" w:line="240" w:lineRule="auto"/>
    </w:pPr>
    <w:rPr>
      <w:sz w:val="20"/>
      <w:szCs w:val="20"/>
    </w:rPr>
  </w:style>
  <w:style w:type="paragraph" w:customStyle="1" w:styleId="Gwkaistopka">
    <w:name w:val="Główka i stopka"/>
    <w:basedOn w:val="Normalny"/>
    <w:qFormat/>
  </w:style>
  <w:style w:type="paragraph" w:styleId="Stopka">
    <w:name w:val="footer"/>
    <w:basedOn w:val="Normalny"/>
    <w:link w:val="StopkaZnak"/>
    <w:uiPriority w:val="99"/>
    <w:unhideWhenUsed/>
    <w:rsid w:val="008612B2"/>
    <w:pPr>
      <w:tabs>
        <w:tab w:val="center" w:pos="4536"/>
        <w:tab w:val="right" w:pos="9072"/>
      </w:tabs>
      <w:spacing w:after="0" w:line="240" w:lineRule="auto"/>
    </w:pPr>
  </w:style>
  <w:style w:type="paragraph" w:styleId="Nagwekspisutreci">
    <w:name w:val="TOC Heading"/>
    <w:basedOn w:val="Nagwek1"/>
    <w:next w:val="Normalny"/>
    <w:uiPriority w:val="39"/>
    <w:unhideWhenUsed/>
    <w:qFormat/>
    <w:rsid w:val="008612B2"/>
    <w:rPr>
      <w:lang w:eastAsia="pl-PL"/>
    </w:rPr>
  </w:style>
  <w:style w:type="paragraph" w:styleId="Spistreci1">
    <w:name w:val="toc 1"/>
    <w:basedOn w:val="Normalny"/>
    <w:next w:val="Normalny"/>
    <w:autoRedefine/>
    <w:uiPriority w:val="39"/>
    <w:unhideWhenUsed/>
    <w:rsid w:val="00BD2FEA"/>
    <w:pPr>
      <w:tabs>
        <w:tab w:val="left" w:pos="660"/>
        <w:tab w:val="right" w:leader="dot" w:pos="9770"/>
      </w:tabs>
      <w:spacing w:after="100"/>
    </w:pPr>
    <w:rPr>
      <w:rFonts w:ascii="Times New Roman" w:hAnsi="Times New Roman" w:cs="Times New Roman"/>
    </w:rPr>
  </w:style>
  <w:style w:type="paragraph" w:styleId="Spistreci2">
    <w:name w:val="toc 2"/>
    <w:basedOn w:val="Normalny"/>
    <w:next w:val="Normalny"/>
    <w:autoRedefine/>
    <w:uiPriority w:val="39"/>
    <w:unhideWhenUsed/>
    <w:rsid w:val="008612B2"/>
    <w:pPr>
      <w:spacing w:after="100"/>
      <w:ind w:left="220"/>
    </w:pPr>
  </w:style>
  <w:style w:type="paragraph" w:customStyle="1" w:styleId="aaardo">
    <w:name w:val="aaaŹródło"/>
    <w:basedOn w:val="Legenda"/>
    <w:next w:val="Normalny"/>
    <w:autoRedefine/>
    <w:qFormat/>
    <w:rsid w:val="008612B2"/>
    <w:pPr>
      <w:spacing w:before="120" w:after="240" w:line="276" w:lineRule="auto"/>
      <w:contextualSpacing/>
      <w:jc w:val="both"/>
    </w:pPr>
    <w:rPr>
      <w:rFonts w:ascii="Times New Roman" w:hAnsi="Times New Roman"/>
      <w:bCs/>
      <w:i w:val="0"/>
      <w:iCs w:val="0"/>
      <w:color w:val="5B9BD5" w:themeColor="accent1"/>
      <w:szCs w:val="16"/>
    </w:rPr>
  </w:style>
  <w:style w:type="paragraph" w:styleId="Spisilustracji">
    <w:name w:val="table of figures"/>
    <w:basedOn w:val="Normalny"/>
    <w:next w:val="Normalny"/>
    <w:uiPriority w:val="99"/>
    <w:unhideWhenUsed/>
    <w:qFormat/>
    <w:rsid w:val="008612B2"/>
    <w:pPr>
      <w:spacing w:after="0"/>
    </w:pPr>
  </w:style>
  <w:style w:type="paragraph" w:styleId="Spistreci3">
    <w:name w:val="toc 3"/>
    <w:basedOn w:val="Normalny"/>
    <w:next w:val="Normalny"/>
    <w:autoRedefine/>
    <w:uiPriority w:val="39"/>
    <w:unhideWhenUsed/>
    <w:rsid w:val="008612B2"/>
    <w:pPr>
      <w:spacing w:after="100"/>
      <w:ind w:left="440"/>
    </w:pPr>
  </w:style>
  <w:style w:type="paragraph" w:styleId="Tekstkomentarza">
    <w:name w:val="annotation text"/>
    <w:basedOn w:val="Normalny"/>
    <w:link w:val="TekstkomentarzaZnak"/>
    <w:unhideWhenUsed/>
    <w:qFormat/>
    <w:rsid w:val="008612B2"/>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8612B2"/>
    <w:rPr>
      <w:b/>
      <w:bCs/>
    </w:rPr>
  </w:style>
  <w:style w:type="paragraph" w:styleId="Spistreci4">
    <w:name w:val="toc 4"/>
    <w:basedOn w:val="Normalny"/>
    <w:next w:val="Normalny"/>
    <w:autoRedefine/>
    <w:uiPriority w:val="39"/>
    <w:unhideWhenUsed/>
    <w:rsid w:val="00FD4476"/>
    <w:pPr>
      <w:spacing w:after="100"/>
      <w:ind w:left="660"/>
    </w:pPr>
  </w:style>
  <w:style w:type="paragraph" w:styleId="Tekstdymka">
    <w:name w:val="Balloon Text"/>
    <w:basedOn w:val="Normalny"/>
    <w:link w:val="TekstdymkaZnak"/>
    <w:uiPriority w:val="99"/>
    <w:semiHidden/>
    <w:unhideWhenUsed/>
    <w:qFormat/>
    <w:rsid w:val="00FD4476"/>
    <w:pPr>
      <w:spacing w:after="0" w:line="240" w:lineRule="auto"/>
      <w:contextualSpacing/>
      <w:jc w:val="both"/>
    </w:pPr>
    <w:rPr>
      <w:rFonts w:ascii="Tahoma" w:hAnsi="Tahoma" w:cs="Tahoma"/>
      <w:sz w:val="16"/>
      <w:szCs w:val="16"/>
    </w:rPr>
  </w:style>
  <w:style w:type="paragraph" w:styleId="Spistreci5">
    <w:name w:val="toc 5"/>
    <w:basedOn w:val="Normalny"/>
    <w:next w:val="Normalny"/>
    <w:autoRedefine/>
    <w:uiPriority w:val="39"/>
    <w:unhideWhenUsed/>
    <w:rsid w:val="00FD4476"/>
    <w:pPr>
      <w:spacing w:after="100" w:line="276" w:lineRule="auto"/>
      <w:ind w:left="880"/>
      <w:contextualSpacing/>
      <w:jc w:val="both"/>
    </w:pPr>
    <w:rPr>
      <w:rFonts w:eastAsiaTheme="minorEastAsia"/>
      <w:lang w:eastAsia="pl-PL"/>
    </w:rPr>
  </w:style>
  <w:style w:type="paragraph" w:styleId="Spistreci6">
    <w:name w:val="toc 6"/>
    <w:basedOn w:val="Normalny"/>
    <w:next w:val="Normalny"/>
    <w:autoRedefine/>
    <w:uiPriority w:val="39"/>
    <w:unhideWhenUsed/>
    <w:rsid w:val="00FD4476"/>
    <w:pPr>
      <w:spacing w:after="100" w:line="276" w:lineRule="auto"/>
      <w:ind w:left="1100"/>
      <w:contextualSpacing/>
      <w:jc w:val="both"/>
    </w:pPr>
    <w:rPr>
      <w:rFonts w:eastAsiaTheme="minorEastAsia"/>
      <w:lang w:eastAsia="pl-PL"/>
    </w:rPr>
  </w:style>
  <w:style w:type="paragraph" w:styleId="Spistreci7">
    <w:name w:val="toc 7"/>
    <w:basedOn w:val="Normalny"/>
    <w:next w:val="Normalny"/>
    <w:autoRedefine/>
    <w:uiPriority w:val="39"/>
    <w:unhideWhenUsed/>
    <w:rsid w:val="00FD4476"/>
    <w:pPr>
      <w:spacing w:after="100" w:line="276" w:lineRule="auto"/>
      <w:ind w:left="1320"/>
      <w:contextualSpacing/>
      <w:jc w:val="both"/>
    </w:pPr>
    <w:rPr>
      <w:rFonts w:eastAsiaTheme="minorEastAsia"/>
      <w:lang w:eastAsia="pl-PL"/>
    </w:rPr>
  </w:style>
  <w:style w:type="paragraph" w:styleId="Spistreci8">
    <w:name w:val="toc 8"/>
    <w:basedOn w:val="Normalny"/>
    <w:next w:val="Normalny"/>
    <w:autoRedefine/>
    <w:uiPriority w:val="39"/>
    <w:unhideWhenUsed/>
    <w:rsid w:val="00FD4476"/>
    <w:pPr>
      <w:spacing w:after="100" w:line="276" w:lineRule="auto"/>
      <w:ind w:left="1540"/>
      <w:contextualSpacing/>
      <w:jc w:val="both"/>
    </w:pPr>
    <w:rPr>
      <w:rFonts w:eastAsiaTheme="minorEastAsia"/>
      <w:lang w:eastAsia="pl-PL"/>
    </w:rPr>
  </w:style>
  <w:style w:type="paragraph" w:styleId="Spistreci9">
    <w:name w:val="toc 9"/>
    <w:basedOn w:val="Normalny"/>
    <w:next w:val="Normalny"/>
    <w:autoRedefine/>
    <w:uiPriority w:val="39"/>
    <w:unhideWhenUsed/>
    <w:rsid w:val="00FD4476"/>
    <w:pPr>
      <w:spacing w:after="100" w:line="276" w:lineRule="auto"/>
      <w:ind w:left="1760"/>
      <w:contextualSpacing/>
      <w:jc w:val="both"/>
    </w:pPr>
    <w:rPr>
      <w:rFonts w:eastAsiaTheme="minorEastAsia"/>
      <w:lang w:eastAsia="pl-PL"/>
    </w:rPr>
  </w:style>
  <w:style w:type="paragraph" w:customStyle="1" w:styleId="podpis">
    <w:name w:val="podpis"/>
    <w:basedOn w:val="Normalny"/>
    <w:autoRedefine/>
    <w:qFormat/>
    <w:rsid w:val="00FD4476"/>
    <w:pPr>
      <w:spacing w:before="240" w:after="120" w:line="276" w:lineRule="auto"/>
      <w:contextualSpacing/>
      <w:jc w:val="both"/>
    </w:pPr>
    <w:rPr>
      <w:bCs/>
      <w:color w:val="5B9BD5" w:themeColor="accent1"/>
      <w:sz w:val="18"/>
    </w:rPr>
  </w:style>
  <w:style w:type="paragraph" w:customStyle="1" w:styleId="rdo">
    <w:name w:val="źródło"/>
    <w:basedOn w:val="Legenda"/>
    <w:qFormat/>
    <w:rsid w:val="00FD4476"/>
    <w:pPr>
      <w:spacing w:before="120" w:after="240"/>
      <w:contextualSpacing/>
    </w:pPr>
    <w:rPr>
      <w:rFonts w:cstheme="minorHAnsi"/>
      <w:bCs/>
      <w:i w:val="0"/>
      <w:iCs w:val="0"/>
      <w:color w:val="5B9BD5" w:themeColor="accent1"/>
      <w:sz w:val="20"/>
      <w:szCs w:val="24"/>
    </w:rPr>
  </w:style>
  <w:style w:type="paragraph" w:styleId="NormalnyWeb">
    <w:name w:val="Normal (Web)"/>
    <w:basedOn w:val="Normalny"/>
    <w:unhideWhenUsed/>
    <w:qFormat/>
    <w:rsid w:val="00FD4476"/>
    <w:pPr>
      <w:spacing w:beforeAutospacing="1" w:afterAutospacing="1" w:line="240" w:lineRule="auto"/>
    </w:pPr>
    <w:rPr>
      <w:rFonts w:ascii="Times New Roman" w:eastAsia="Times New Roman" w:hAnsi="Times New Roman" w:cs="Times New Roman"/>
      <w:szCs w:val="24"/>
      <w:lang w:eastAsia="pl-PL"/>
    </w:rPr>
  </w:style>
  <w:style w:type="paragraph" w:customStyle="1" w:styleId="newssinglelead">
    <w:name w:val="news_single_lead"/>
    <w:basedOn w:val="Normalny"/>
    <w:qFormat/>
    <w:rsid w:val="00FD4476"/>
    <w:pPr>
      <w:spacing w:beforeAutospacing="1" w:afterAutospacing="1" w:line="240" w:lineRule="auto"/>
    </w:pPr>
    <w:rPr>
      <w:rFonts w:ascii="Times New Roman" w:eastAsia="Times New Roman" w:hAnsi="Times New Roman" w:cs="Times New Roman"/>
      <w:szCs w:val="24"/>
      <w:lang w:eastAsia="pl-PL"/>
    </w:rPr>
  </w:style>
  <w:style w:type="paragraph" w:customStyle="1" w:styleId="p1">
    <w:name w:val="p1"/>
    <w:basedOn w:val="Normalny"/>
    <w:qFormat/>
    <w:rsid w:val="00FD4476"/>
    <w:pPr>
      <w:spacing w:beforeAutospacing="1" w:afterAutospacing="1" w:line="240" w:lineRule="auto"/>
    </w:pPr>
    <w:rPr>
      <w:rFonts w:ascii="Times New Roman" w:eastAsia="Times New Roman" w:hAnsi="Times New Roman" w:cs="Times New Roman"/>
      <w:szCs w:val="24"/>
      <w:lang w:eastAsia="pl-PL"/>
    </w:rPr>
  </w:style>
  <w:style w:type="paragraph" w:customStyle="1" w:styleId="pagename">
    <w:name w:val="page_name"/>
    <w:basedOn w:val="Normalny"/>
    <w:qFormat/>
    <w:rsid w:val="00FD4476"/>
    <w:pPr>
      <w:spacing w:beforeAutospacing="1" w:afterAutospacing="1" w:line="240" w:lineRule="auto"/>
    </w:pPr>
    <w:rPr>
      <w:rFonts w:ascii="Times New Roman" w:eastAsia="Times New Roman" w:hAnsi="Times New Roman" w:cs="Times New Roman"/>
      <w:szCs w:val="24"/>
      <w:lang w:eastAsia="pl-PL"/>
    </w:rPr>
  </w:style>
  <w:style w:type="paragraph" w:styleId="HTML-wstpniesformatowany">
    <w:name w:val="HTML Preformatted"/>
    <w:basedOn w:val="Normalny"/>
    <w:uiPriority w:val="99"/>
    <w:unhideWhenUsed/>
    <w:qFormat/>
    <w:rsid w:val="00FD4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paragraph" w:customStyle="1" w:styleId="Textbody">
    <w:name w:val="Text body"/>
    <w:basedOn w:val="Normalny"/>
    <w:qFormat/>
    <w:rsid w:val="00FD4476"/>
    <w:pPr>
      <w:widowControl w:val="0"/>
      <w:suppressAutoHyphens/>
      <w:spacing w:after="120" w:line="240" w:lineRule="auto"/>
      <w:textAlignment w:val="baseline"/>
    </w:pPr>
    <w:rPr>
      <w:rFonts w:ascii="Times New Roman" w:eastAsia="Andale Sans UI" w:hAnsi="Times New Roman" w:cs="Tahoma"/>
      <w:kern w:val="2"/>
      <w:sz w:val="24"/>
      <w:szCs w:val="24"/>
      <w:lang w:val="de-DE" w:eastAsia="ja-JP" w:bidi="fa-IR"/>
    </w:rPr>
  </w:style>
  <w:style w:type="paragraph" w:customStyle="1" w:styleId="Default">
    <w:name w:val="Default"/>
    <w:qFormat/>
    <w:rsid w:val="00FD4476"/>
    <w:rPr>
      <w:rFonts w:ascii="Calibri" w:eastAsia="Calibri" w:hAnsi="Calibri" w:cs="Calibri"/>
      <w:color w:val="000000"/>
      <w:sz w:val="24"/>
      <w:szCs w:val="24"/>
    </w:rPr>
  </w:style>
  <w:style w:type="paragraph" w:styleId="Tekstprzypisukocowego">
    <w:name w:val="endnote text"/>
    <w:basedOn w:val="Normalny"/>
    <w:link w:val="TekstprzypisukocowegoZnak"/>
    <w:uiPriority w:val="99"/>
    <w:semiHidden/>
    <w:unhideWhenUsed/>
    <w:rsid w:val="00FD4476"/>
    <w:pPr>
      <w:spacing w:after="0" w:line="240" w:lineRule="auto"/>
      <w:contextualSpacing/>
      <w:jc w:val="both"/>
    </w:pPr>
    <w:rPr>
      <w:sz w:val="20"/>
      <w:szCs w:val="20"/>
    </w:rPr>
  </w:style>
  <w:style w:type="paragraph" w:customStyle="1" w:styleId="Standard">
    <w:name w:val="Standard"/>
    <w:qFormat/>
    <w:rsid w:val="00FD4476"/>
    <w:pPr>
      <w:widowControl w:val="0"/>
      <w:suppressAutoHyphens/>
      <w:textAlignment w:val="baseline"/>
    </w:pPr>
    <w:rPr>
      <w:rFonts w:ascii="Times New Roman" w:eastAsia="SimSun" w:hAnsi="Times New Roman" w:cs="Mangal"/>
      <w:kern w:val="2"/>
      <w:sz w:val="24"/>
      <w:szCs w:val="24"/>
      <w:lang w:eastAsia="zh-CN" w:bidi="hi-IN"/>
    </w:rPr>
  </w:style>
  <w:style w:type="paragraph" w:styleId="Tekstpodstawowy2">
    <w:name w:val="Body Text 2"/>
    <w:basedOn w:val="Normalny"/>
    <w:link w:val="Tekstpodstawowy2Znak"/>
    <w:uiPriority w:val="99"/>
    <w:semiHidden/>
    <w:unhideWhenUsed/>
    <w:qFormat/>
    <w:rsid w:val="00FD4476"/>
    <w:pPr>
      <w:spacing w:after="120" w:line="480" w:lineRule="auto"/>
      <w:contextualSpacing/>
      <w:jc w:val="both"/>
    </w:pPr>
  </w:style>
  <w:style w:type="paragraph" w:styleId="Tekstpodstawowywcity">
    <w:name w:val="Body Text Indent"/>
    <w:basedOn w:val="Normalny"/>
    <w:link w:val="TekstpodstawowywcityZnak"/>
    <w:uiPriority w:val="99"/>
    <w:semiHidden/>
    <w:unhideWhenUsed/>
    <w:rsid w:val="00FD4476"/>
    <w:pPr>
      <w:spacing w:after="120" w:line="276" w:lineRule="auto"/>
      <w:ind w:left="283"/>
      <w:contextualSpacing/>
      <w:jc w:val="both"/>
    </w:pPr>
  </w:style>
  <w:style w:type="paragraph" w:customStyle="1" w:styleId="tresc">
    <w:name w:val="tresc"/>
    <w:basedOn w:val="Normalny"/>
    <w:qFormat/>
    <w:rsid w:val="00FD4476"/>
    <w:pPr>
      <w:spacing w:beforeAutospacing="1" w:afterAutospacing="1" w:line="240" w:lineRule="auto"/>
    </w:pPr>
    <w:rPr>
      <w:rFonts w:ascii="Times New Roman" w:eastAsia="Times New Roman" w:hAnsi="Times New Roman" w:cs="Times New Roman"/>
      <w:sz w:val="24"/>
      <w:szCs w:val="24"/>
      <w:lang w:eastAsia="pl-PL"/>
    </w:rPr>
  </w:style>
  <w:style w:type="paragraph" w:styleId="Poprawka">
    <w:name w:val="Revision"/>
    <w:uiPriority w:val="99"/>
    <w:semiHidden/>
    <w:qFormat/>
    <w:rsid w:val="00FD4476"/>
  </w:style>
  <w:style w:type="paragraph" w:customStyle="1" w:styleId="aardo">
    <w:name w:val="aaźródło"/>
    <w:next w:val="Normalny"/>
    <w:autoRedefine/>
    <w:qFormat/>
    <w:rsid w:val="00FD4476"/>
    <w:pPr>
      <w:spacing w:before="120" w:after="240"/>
    </w:pPr>
    <w:rPr>
      <w:rFonts w:ascii="Times New Roman" w:eastAsia="Calibri" w:hAnsi="Times New Roman"/>
      <w:color w:val="5B9BD5" w:themeColor="accent1"/>
      <w:sz w:val="18"/>
    </w:rPr>
  </w:style>
  <w:style w:type="paragraph" w:customStyle="1" w:styleId="aapodpis">
    <w:name w:val="aapodpis"/>
    <w:next w:val="Normalny"/>
    <w:autoRedefine/>
    <w:qFormat/>
    <w:rsid w:val="00FD4476"/>
    <w:pPr>
      <w:keepNext/>
      <w:spacing w:before="240" w:after="120" w:line="276" w:lineRule="auto"/>
    </w:pPr>
    <w:rPr>
      <w:rFonts w:ascii="Times New Roman" w:eastAsia="Calibri" w:hAnsi="Times New Roman"/>
      <w:b/>
      <w:color w:val="5B9BD5" w:themeColor="accent1"/>
      <w:sz w:val="18"/>
    </w:rPr>
  </w:style>
  <w:style w:type="paragraph" w:customStyle="1" w:styleId="lead">
    <w:name w:val="lead"/>
    <w:basedOn w:val="Normalny"/>
    <w:qFormat/>
    <w:rsid w:val="00FD4476"/>
    <w:pPr>
      <w:spacing w:beforeAutospacing="1" w:afterAutospacing="1" w:line="240" w:lineRule="auto"/>
    </w:pPr>
    <w:rPr>
      <w:rFonts w:ascii="Times New Roman" w:eastAsia="Times New Roman" w:hAnsi="Times New Roman" w:cs="Times New Roman"/>
      <w:szCs w:val="24"/>
      <w:lang w:eastAsia="pl-PL"/>
    </w:rPr>
  </w:style>
  <w:style w:type="paragraph" w:styleId="Zagicieodgryformularza">
    <w:name w:val="HTML Top of Form"/>
    <w:basedOn w:val="Normalny"/>
    <w:next w:val="Normalny"/>
    <w:link w:val="ZagicieodgryformularzaZnak"/>
    <w:uiPriority w:val="99"/>
    <w:semiHidden/>
    <w:unhideWhenUsed/>
    <w:qFormat/>
    <w:rsid w:val="00FD4476"/>
    <w:pPr>
      <w:pBdr>
        <w:bottom w:val="single" w:sz="6" w:space="1" w:color="000000"/>
      </w:pBdr>
      <w:spacing w:after="0" w:line="240" w:lineRule="auto"/>
      <w:jc w:val="center"/>
    </w:pPr>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uiPriority w:val="99"/>
    <w:semiHidden/>
    <w:unhideWhenUsed/>
    <w:qFormat/>
    <w:rsid w:val="00FD4476"/>
    <w:pPr>
      <w:pBdr>
        <w:top w:val="single" w:sz="6" w:space="1" w:color="000000"/>
      </w:pBdr>
      <w:spacing w:after="0" w:line="240" w:lineRule="auto"/>
      <w:jc w:val="center"/>
    </w:pPr>
    <w:rPr>
      <w:rFonts w:ascii="Arial" w:eastAsia="Times New Roman" w:hAnsi="Arial" w:cs="Arial"/>
      <w:vanish/>
      <w:sz w:val="16"/>
      <w:szCs w:val="16"/>
      <w:lang w:eastAsia="pl-PL"/>
    </w:rPr>
  </w:style>
  <w:style w:type="paragraph" w:customStyle="1" w:styleId="aaapodpis">
    <w:name w:val="aaapodpis"/>
    <w:basedOn w:val="Legenda"/>
    <w:next w:val="Normalny"/>
    <w:qFormat/>
    <w:rsid w:val="00FD4476"/>
    <w:pPr>
      <w:keepNext/>
      <w:spacing w:before="240" w:after="120"/>
      <w:contextualSpacing/>
    </w:pPr>
    <w:rPr>
      <w:b/>
      <w:bCs/>
      <w:i w:val="0"/>
      <w:iCs w:val="0"/>
      <w:color w:val="5B9BD5" w:themeColor="accent1"/>
      <w:sz w:val="20"/>
    </w:rPr>
  </w:style>
  <w:style w:type="paragraph" w:customStyle="1" w:styleId="aatekstt">
    <w:name w:val="aatekstt"/>
    <w:basedOn w:val="Bezodstpw"/>
    <w:qFormat/>
    <w:rsid w:val="00FD4476"/>
    <w:pPr>
      <w:suppressAutoHyphens/>
      <w:spacing w:line="360" w:lineRule="auto"/>
      <w:ind w:firstLine="432"/>
      <w:jc w:val="both"/>
    </w:pPr>
    <w:rPr>
      <w:rFonts w:ascii="Times New Roman" w:eastAsia="Arial" w:hAnsi="Times New Roman" w:cs="Times New Roman"/>
      <w:sz w:val="24"/>
      <w:lang w:eastAsia="ar-SA"/>
    </w:rPr>
  </w:style>
  <w:style w:type="paragraph" w:customStyle="1" w:styleId="gallery-link-list-element">
    <w:name w:val="gallery-link-list-element"/>
    <w:basedOn w:val="Normalny"/>
    <w:qFormat/>
    <w:rsid w:val="00FD447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Listapunktowana31">
    <w:name w:val="Lista punktowana 31"/>
    <w:basedOn w:val="Normalny"/>
    <w:qFormat/>
    <w:rsid w:val="00FD4476"/>
    <w:pPr>
      <w:suppressAutoHyphens/>
      <w:spacing w:after="0" w:line="360" w:lineRule="auto"/>
      <w:ind w:left="356" w:hanging="356"/>
      <w:jc w:val="both"/>
    </w:pPr>
    <w:rPr>
      <w:rFonts w:ascii="Verdana" w:eastAsia="Times New Roman" w:hAnsi="Verdana" w:cs="Verdana"/>
      <w:sz w:val="20"/>
      <w:szCs w:val="20"/>
      <w:lang w:eastAsia="ar-SA"/>
    </w:rPr>
  </w:style>
  <w:style w:type="paragraph" w:customStyle="1" w:styleId="Lista21">
    <w:name w:val="Lista 21"/>
    <w:basedOn w:val="Normalny"/>
    <w:qFormat/>
    <w:rsid w:val="00FD4476"/>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msonormal0">
    <w:name w:val="msonormal"/>
    <w:basedOn w:val="Normalny"/>
    <w:qFormat/>
    <w:rsid w:val="00FD447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qFormat/>
    <w:rsid w:val="00FD447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qFormat/>
    <w:rsid w:val="00FD4476"/>
    <w:pPr>
      <w:pBdr>
        <w:top w:val="single" w:sz="4" w:space="0" w:color="000000"/>
        <w:left w:val="single" w:sz="4" w:space="0" w:color="000000"/>
        <w:bottom w:val="single" w:sz="4" w:space="0" w:color="000000"/>
        <w:right w:val="single" w:sz="4" w:space="0" w:color="000000"/>
      </w:pBdr>
      <w:shd w:val="clear" w:color="000000" w:fill="D3D3D3"/>
      <w:spacing w:beforeAutospacing="1"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qFormat/>
    <w:rsid w:val="00FD4476"/>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qFormat/>
    <w:rsid w:val="00FD4476"/>
    <w:pPr>
      <w:spacing w:beforeAutospacing="1" w:afterAutospacing="1" w:line="240" w:lineRule="auto"/>
      <w:jc w:val="center"/>
    </w:pPr>
    <w:rPr>
      <w:rFonts w:ascii="Times New Roman" w:eastAsia="Times New Roman" w:hAnsi="Times New Roman" w:cs="Times New Roman"/>
      <w:sz w:val="24"/>
      <w:szCs w:val="24"/>
      <w:lang w:eastAsia="pl-PL"/>
    </w:rPr>
  </w:style>
  <w:style w:type="paragraph" w:customStyle="1" w:styleId="xl70">
    <w:name w:val="xl70"/>
    <w:basedOn w:val="Normalny"/>
    <w:qFormat/>
    <w:rsid w:val="00FD4476"/>
    <w:pPr>
      <w:spacing w:beforeAutospacing="1" w:afterAutospacing="1" w:line="240" w:lineRule="auto"/>
      <w:jc w:val="center"/>
    </w:pPr>
    <w:rPr>
      <w:rFonts w:ascii="Times New Roman" w:eastAsia="Times New Roman" w:hAnsi="Times New Roman" w:cs="Times New Roman"/>
      <w:sz w:val="24"/>
      <w:szCs w:val="24"/>
      <w:lang w:eastAsia="pl-PL"/>
    </w:rPr>
  </w:style>
  <w:style w:type="paragraph" w:customStyle="1" w:styleId="xl71">
    <w:name w:val="xl71"/>
    <w:basedOn w:val="Normalny"/>
    <w:qFormat/>
    <w:rsid w:val="00FD4476"/>
    <w:pPr>
      <w:pBdr>
        <w:top w:val="single" w:sz="4" w:space="0" w:color="000000"/>
        <w:left w:val="single" w:sz="4" w:space="0" w:color="000000"/>
        <w:bottom w:val="single" w:sz="4" w:space="0" w:color="000000"/>
        <w:right w:val="single" w:sz="4" w:space="0" w:color="000000"/>
      </w:pBdr>
      <w:shd w:val="clear" w:color="000000" w:fill="D3D3D3"/>
      <w:spacing w:beforeAutospacing="1"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72">
    <w:name w:val="xl72"/>
    <w:basedOn w:val="Normalny"/>
    <w:qFormat/>
    <w:rsid w:val="00FD4476"/>
    <w:pPr>
      <w:spacing w:beforeAutospacing="1" w:afterAutospacing="1" w:line="240" w:lineRule="auto"/>
      <w:jc w:val="center"/>
    </w:pPr>
    <w:rPr>
      <w:rFonts w:ascii="Times New Roman" w:eastAsia="Times New Roman" w:hAnsi="Times New Roman" w:cs="Times New Roman"/>
      <w:i/>
      <w:iCs/>
      <w:sz w:val="24"/>
      <w:szCs w:val="24"/>
      <w:lang w:eastAsia="pl-PL"/>
    </w:rPr>
  </w:style>
  <w:style w:type="paragraph" w:customStyle="1" w:styleId="xl73">
    <w:name w:val="xl73"/>
    <w:basedOn w:val="Normalny"/>
    <w:qFormat/>
    <w:rsid w:val="00FD4476"/>
    <w:pPr>
      <w:spacing w:beforeAutospacing="1" w:afterAutospacing="1" w:line="240" w:lineRule="auto"/>
    </w:pPr>
    <w:rPr>
      <w:rFonts w:ascii="Times New Roman" w:eastAsia="Times New Roman" w:hAnsi="Times New Roman" w:cs="Times New Roman"/>
      <w:i/>
      <w:iCs/>
      <w:sz w:val="24"/>
      <w:szCs w:val="24"/>
      <w:lang w:eastAsia="pl-PL"/>
    </w:rPr>
  </w:style>
  <w:style w:type="paragraph" w:customStyle="1" w:styleId="xl74">
    <w:name w:val="xl74"/>
    <w:basedOn w:val="Normalny"/>
    <w:qFormat/>
    <w:rsid w:val="00FD4476"/>
    <w:pPr>
      <w:pBdr>
        <w:top w:val="single" w:sz="4" w:space="0" w:color="000000"/>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qFormat/>
    <w:rsid w:val="00FD4476"/>
    <w:pPr>
      <w:pBdr>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qFormat/>
    <w:rsid w:val="00FD4476"/>
    <w:pPr>
      <w:pBdr>
        <w:top w:val="single" w:sz="4" w:space="0" w:color="000000"/>
        <w:left w:val="single" w:sz="4" w:space="0" w:color="000000"/>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qFormat/>
    <w:rsid w:val="00FD4476"/>
    <w:pPr>
      <w:pBdr>
        <w:left w:val="single" w:sz="4" w:space="0" w:color="000000"/>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8">
    <w:name w:val="xl78"/>
    <w:basedOn w:val="Normalny"/>
    <w:qFormat/>
    <w:rsid w:val="00FD4476"/>
    <w:pPr>
      <w:pBdr>
        <w:left w:val="single" w:sz="4" w:space="0" w:color="000000"/>
        <w:bottom w:val="single" w:sz="4" w:space="0" w:color="000000"/>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9">
    <w:name w:val="xl79"/>
    <w:basedOn w:val="Normalny"/>
    <w:qFormat/>
    <w:rsid w:val="00FD4476"/>
    <w:pPr>
      <w:pBdr>
        <w:top w:val="single" w:sz="4" w:space="0" w:color="000000"/>
        <w:left w:val="single" w:sz="4" w:space="0" w:color="000000"/>
        <w:bottom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0">
    <w:name w:val="xl80"/>
    <w:basedOn w:val="Normalny"/>
    <w:qFormat/>
    <w:rsid w:val="00FD4476"/>
    <w:pPr>
      <w:pBdr>
        <w:top w:val="single" w:sz="4" w:space="0" w:color="000000"/>
        <w:bottom w:val="single" w:sz="4" w:space="0" w:color="000000"/>
        <w:right w:val="single" w:sz="4" w:space="0" w:color="000000"/>
      </w:pBdr>
      <w:shd w:val="clear" w:color="000000" w:fill="D3D3D3"/>
      <w:spacing w:beforeAutospacing="1"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64">
    <w:name w:val="xl64"/>
    <w:basedOn w:val="Normalny"/>
    <w:qFormat/>
    <w:rsid w:val="00FD4476"/>
    <w:pPr>
      <w:pBdr>
        <w:top w:val="single" w:sz="4" w:space="0" w:color="000000"/>
        <w:left w:val="single" w:sz="4" w:space="0" w:color="000000"/>
        <w:bottom w:val="single" w:sz="4" w:space="0" w:color="000000"/>
        <w:right w:val="single" w:sz="4" w:space="0" w:color="000000"/>
      </w:pBdr>
      <w:shd w:val="clear" w:color="000000" w:fill="D3D3D3"/>
      <w:spacing w:beforeAutospacing="1"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Zawartoramki">
    <w:name w:val="Zawartość ramki"/>
    <w:basedOn w:val="Normalny"/>
    <w:qFormat/>
  </w:style>
  <w:style w:type="numbering" w:customStyle="1" w:styleId="Styl1">
    <w:name w:val="Styl1"/>
    <w:uiPriority w:val="99"/>
    <w:qFormat/>
    <w:rsid w:val="00FD4476"/>
  </w:style>
  <w:style w:type="table" w:styleId="Tabela-Siatka">
    <w:name w:val="Table Grid"/>
    <w:basedOn w:val="Standardowy"/>
    <w:uiPriority w:val="59"/>
    <w:rsid w:val="0086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
    <w:name w:val="Grid Table 4 Accent 5"/>
    <w:basedOn w:val="Standardowy"/>
    <w:uiPriority w:val="49"/>
    <w:rsid w:val="008612B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
    <w:name w:val="Grid Table 5 Dark Accent 5"/>
    <w:basedOn w:val="Standardowy"/>
    <w:uiPriority w:val="50"/>
    <w:rsid w:val="008612B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PlainTable4">
    <w:name w:val="Plain Table 4"/>
    <w:basedOn w:val="Standardowy"/>
    <w:uiPriority w:val="44"/>
    <w:rsid w:val="008612B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Accent5">
    <w:name w:val="List Table 4 Accent 5"/>
    <w:basedOn w:val="Standardowy"/>
    <w:uiPriority w:val="49"/>
    <w:rsid w:val="008612B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3Accent5">
    <w:name w:val="List Table 3 Accent 5"/>
    <w:basedOn w:val="Standardowy"/>
    <w:uiPriority w:val="48"/>
    <w:rsid w:val="008612B2"/>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Jasnecieniowanieakcent11">
    <w:name w:val="Jasne cieniowanie — akcent 11"/>
    <w:basedOn w:val="Standardowy"/>
    <w:uiPriority w:val="60"/>
    <w:rsid w:val="00FD447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Jasnecieniowanieakcent12">
    <w:name w:val="Jasne cieniowanie — akcent 12"/>
    <w:basedOn w:val="Standardowy"/>
    <w:uiPriority w:val="60"/>
    <w:rsid w:val="00FD447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Jasnecieniowanieakcent13">
    <w:name w:val="Jasne cieniowanie — akcent 13"/>
    <w:basedOn w:val="Standardowy"/>
    <w:uiPriority w:val="60"/>
    <w:rsid w:val="00FD447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Jasnecieniowanieakcent14">
    <w:name w:val="Jasne cieniowanie — akcent 14"/>
    <w:basedOn w:val="Standardowy"/>
    <w:uiPriority w:val="60"/>
    <w:rsid w:val="00FD447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rednialista1akcent11">
    <w:name w:val="Średnia lista 1 — akcent 11"/>
    <w:basedOn w:val="Standardowy"/>
    <w:uiPriority w:val="65"/>
    <w:rsid w:val="00FD4476"/>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rsid w:val="00FD4476"/>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Jasnecieniowanieakcent2">
    <w:name w:val="Light Shading Accent 2"/>
    <w:basedOn w:val="Standardowy"/>
    <w:uiPriority w:val="60"/>
    <w:rsid w:val="00FD447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FD4476"/>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6.xml"/><Relationship Id="rId21" Type="http://schemas.openxmlformats.org/officeDocument/2006/relationships/hyperlink" Target="https://jeziorapolski.pl/jezioro-rotcze-grabniak/" TargetMode="External"/><Relationship Id="rId42" Type="http://schemas.openxmlformats.org/officeDocument/2006/relationships/diagramLayout" Target="diagrams/layout2.xml"/><Relationship Id="rId63" Type="http://schemas.openxmlformats.org/officeDocument/2006/relationships/header" Target="header4.xml"/><Relationship Id="rId84" Type="http://schemas.openxmlformats.org/officeDocument/2006/relationships/chart" Target="charts/chart15.xml"/><Relationship Id="rId138" Type="http://schemas.openxmlformats.org/officeDocument/2006/relationships/chart" Target="charts/chart63.xml"/><Relationship Id="rId107" Type="http://schemas.openxmlformats.org/officeDocument/2006/relationships/chart" Target="charts/chart36.xml"/><Relationship Id="rId11" Type="http://schemas.openxmlformats.org/officeDocument/2006/relationships/header" Target="header2.xml"/><Relationship Id="rId32" Type="http://schemas.openxmlformats.org/officeDocument/2006/relationships/image" Target="media/image16.png"/><Relationship Id="rId53" Type="http://schemas.openxmlformats.org/officeDocument/2006/relationships/hyperlink" Target="http://www.lubelskie.pl/" TargetMode="External"/><Relationship Id="rId74" Type="http://schemas.openxmlformats.org/officeDocument/2006/relationships/chart" Target="charts/chart5.xml"/><Relationship Id="rId128" Type="http://schemas.openxmlformats.org/officeDocument/2006/relationships/chart" Target="charts/chart56.xml"/><Relationship Id="rId149" Type="http://schemas.openxmlformats.org/officeDocument/2006/relationships/header" Target="header9.xml"/><Relationship Id="rId5" Type="http://schemas.openxmlformats.org/officeDocument/2006/relationships/settings" Target="settings.xml"/><Relationship Id="rId95" Type="http://schemas.openxmlformats.org/officeDocument/2006/relationships/hyperlink" Target="http://www.pkw.gov.pl/" TargetMode="External"/><Relationship Id="rId22" Type="http://schemas.openxmlformats.org/officeDocument/2006/relationships/chart" Target="charts/chart1.xml"/><Relationship Id="rId27" Type="http://schemas.openxmlformats.org/officeDocument/2006/relationships/image" Target="media/image11.png"/><Relationship Id="rId43" Type="http://schemas.openxmlformats.org/officeDocument/2006/relationships/diagramQuickStyle" Target="diagrams/quickStyle2.xml"/><Relationship Id="rId48" Type="http://schemas.openxmlformats.org/officeDocument/2006/relationships/diagramQuickStyle" Target="diagrams/quickStyle3.xml"/><Relationship Id="rId64" Type="http://schemas.openxmlformats.org/officeDocument/2006/relationships/footer" Target="footer4.xml"/><Relationship Id="rId69" Type="http://schemas.openxmlformats.org/officeDocument/2006/relationships/image" Target="media/image31.png"/><Relationship Id="rId113" Type="http://schemas.openxmlformats.org/officeDocument/2006/relationships/chart" Target="charts/chart42.xml"/><Relationship Id="rId118" Type="http://schemas.openxmlformats.org/officeDocument/2006/relationships/chart" Target="charts/chart47.xml"/><Relationship Id="rId134" Type="http://schemas.openxmlformats.org/officeDocument/2006/relationships/chart" Target="charts/chart59.xml"/><Relationship Id="rId139" Type="http://schemas.openxmlformats.org/officeDocument/2006/relationships/chart" Target="charts/chart64.xml"/><Relationship Id="rId80" Type="http://schemas.openxmlformats.org/officeDocument/2006/relationships/chart" Target="charts/chart11.xml"/><Relationship Id="rId85" Type="http://schemas.openxmlformats.org/officeDocument/2006/relationships/chart" Target="charts/chart16.xml"/><Relationship Id="rId150" Type="http://schemas.openxmlformats.org/officeDocument/2006/relationships/footer" Target="footer9.xm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diagramQuickStyle" Target="diagrams/quickStyle1.xml"/><Relationship Id="rId59" Type="http://schemas.openxmlformats.org/officeDocument/2006/relationships/image" Target="media/image26.png"/><Relationship Id="rId103" Type="http://schemas.openxmlformats.org/officeDocument/2006/relationships/chart" Target="charts/chart32.xml"/><Relationship Id="rId108" Type="http://schemas.openxmlformats.org/officeDocument/2006/relationships/chart" Target="charts/chart37.xml"/><Relationship Id="rId124" Type="http://schemas.openxmlformats.org/officeDocument/2006/relationships/image" Target="media/image34.png"/><Relationship Id="rId129" Type="http://schemas.openxmlformats.org/officeDocument/2006/relationships/chart" Target="charts/chart57.xml"/><Relationship Id="rId54" Type="http://schemas.openxmlformats.org/officeDocument/2006/relationships/image" Target="media/image21.png"/><Relationship Id="rId70" Type="http://schemas.openxmlformats.org/officeDocument/2006/relationships/image" Target="media/image32.png"/><Relationship Id="rId75" Type="http://schemas.openxmlformats.org/officeDocument/2006/relationships/chart" Target="charts/chart6.xml"/><Relationship Id="rId91" Type="http://schemas.openxmlformats.org/officeDocument/2006/relationships/chart" Target="charts/chart22.xml"/><Relationship Id="rId96" Type="http://schemas.openxmlformats.org/officeDocument/2006/relationships/chart" Target="charts/chart26.xml"/><Relationship Id="rId140" Type="http://schemas.openxmlformats.org/officeDocument/2006/relationships/header" Target="header6.xm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2.xml"/><Relationship Id="rId28" Type="http://schemas.openxmlformats.org/officeDocument/2006/relationships/image" Target="media/image12.jpeg"/><Relationship Id="rId49" Type="http://schemas.openxmlformats.org/officeDocument/2006/relationships/diagramColors" Target="diagrams/colors3.xml"/><Relationship Id="rId114" Type="http://schemas.openxmlformats.org/officeDocument/2006/relationships/chart" Target="charts/chart43.xml"/><Relationship Id="rId119" Type="http://schemas.openxmlformats.org/officeDocument/2006/relationships/chart" Target="charts/chart48.xml"/><Relationship Id="rId44" Type="http://schemas.openxmlformats.org/officeDocument/2006/relationships/diagramColors" Target="diagrams/colors2.xml"/><Relationship Id="rId60" Type="http://schemas.openxmlformats.org/officeDocument/2006/relationships/image" Target="media/image27.png"/><Relationship Id="rId65" Type="http://schemas.openxmlformats.org/officeDocument/2006/relationships/header" Target="header5.xml"/><Relationship Id="rId81" Type="http://schemas.openxmlformats.org/officeDocument/2006/relationships/chart" Target="charts/chart12.xml"/><Relationship Id="rId86" Type="http://schemas.openxmlformats.org/officeDocument/2006/relationships/chart" Target="charts/chart17.xml"/><Relationship Id="rId130" Type="http://schemas.openxmlformats.org/officeDocument/2006/relationships/hyperlink" Target="https://jeziorapolski.pl/jezioro-sumin/" TargetMode="External"/><Relationship Id="rId135" Type="http://schemas.openxmlformats.org/officeDocument/2006/relationships/chart" Target="charts/chart60.xml"/><Relationship Id="rId151"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diagramColors" Target="diagrams/colors1.xml"/><Relationship Id="rId109" Type="http://schemas.openxmlformats.org/officeDocument/2006/relationships/chart" Target="charts/chart38.xml"/><Relationship Id="rId34" Type="http://schemas.openxmlformats.org/officeDocument/2006/relationships/image" Target="media/image18.png"/><Relationship Id="rId50" Type="http://schemas.microsoft.com/office/2007/relationships/diagramDrawing" Target="diagrams/drawing3.xml"/><Relationship Id="rId55" Type="http://schemas.openxmlformats.org/officeDocument/2006/relationships/image" Target="media/image22.png"/><Relationship Id="rId76" Type="http://schemas.openxmlformats.org/officeDocument/2006/relationships/chart" Target="charts/chart7.xml"/><Relationship Id="rId97" Type="http://schemas.openxmlformats.org/officeDocument/2006/relationships/hyperlink" Target="http://www.pkw.gov.pl/" TargetMode="External"/><Relationship Id="rId104" Type="http://schemas.openxmlformats.org/officeDocument/2006/relationships/chart" Target="charts/chart33.xml"/><Relationship Id="rId120" Type="http://schemas.openxmlformats.org/officeDocument/2006/relationships/chart" Target="charts/chart49.xml"/><Relationship Id="rId125" Type="http://schemas.openxmlformats.org/officeDocument/2006/relationships/chart" Target="charts/chart53.xml"/><Relationship Id="rId141" Type="http://schemas.openxmlformats.org/officeDocument/2006/relationships/footer" Target="footer6.xml"/><Relationship Id="rId146" Type="http://schemas.openxmlformats.org/officeDocument/2006/relationships/chart" Target="charts/chart67.xm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chart" Target="charts/chart23.xm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8.png"/><Relationship Id="rId40" Type="http://schemas.microsoft.com/office/2007/relationships/diagramDrawing" Target="diagrams/drawing1.xml"/><Relationship Id="rId45" Type="http://schemas.microsoft.com/office/2007/relationships/diagramDrawing" Target="diagrams/drawing2.xml"/><Relationship Id="rId66" Type="http://schemas.openxmlformats.org/officeDocument/2006/relationships/footer" Target="footer5.xml"/><Relationship Id="rId87" Type="http://schemas.openxmlformats.org/officeDocument/2006/relationships/chart" Target="charts/chart18.xml"/><Relationship Id="rId110" Type="http://schemas.openxmlformats.org/officeDocument/2006/relationships/chart" Target="charts/chart39.xml"/><Relationship Id="rId115" Type="http://schemas.openxmlformats.org/officeDocument/2006/relationships/chart" Target="charts/chart44.xml"/><Relationship Id="rId131" Type="http://schemas.openxmlformats.org/officeDocument/2006/relationships/hyperlink" Target="https://jeziorapolski.pl/jezioro-wytyckie/" TargetMode="External"/><Relationship Id="rId136" Type="http://schemas.openxmlformats.org/officeDocument/2006/relationships/chart" Target="charts/chart61.xml"/><Relationship Id="rId61" Type="http://schemas.openxmlformats.org/officeDocument/2006/relationships/header" Target="header3.xml"/><Relationship Id="rId82" Type="http://schemas.openxmlformats.org/officeDocument/2006/relationships/chart" Target="charts/chart13.xml"/><Relationship Id="rId152" Type="http://schemas.openxmlformats.org/officeDocument/2006/relationships/theme" Target="theme/theme1.xml"/><Relationship Id="rId19" Type="http://schemas.openxmlformats.org/officeDocument/2006/relationships/hyperlink" Target="https://jeziorapolski.pl/jezioro-sumin/" TargetMode="External"/><Relationship Id="rId14" Type="http://schemas.openxmlformats.org/officeDocument/2006/relationships/image" Target="media/image3.png"/><Relationship Id="rId30" Type="http://schemas.openxmlformats.org/officeDocument/2006/relationships/image" Target="media/image14.jpeg"/><Relationship Id="rId35" Type="http://schemas.openxmlformats.org/officeDocument/2006/relationships/image" Target="media/image19.png"/><Relationship Id="rId56" Type="http://schemas.openxmlformats.org/officeDocument/2006/relationships/image" Target="media/image23.png"/><Relationship Id="rId77" Type="http://schemas.openxmlformats.org/officeDocument/2006/relationships/chart" Target="charts/chart8.xml"/><Relationship Id="rId100" Type="http://schemas.openxmlformats.org/officeDocument/2006/relationships/chart" Target="charts/chart29.xml"/><Relationship Id="rId105" Type="http://schemas.openxmlformats.org/officeDocument/2006/relationships/chart" Target="charts/chart34.xml"/><Relationship Id="rId126" Type="http://schemas.openxmlformats.org/officeDocument/2006/relationships/chart" Target="charts/chart54.xml"/><Relationship Id="rId147"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chart" Target="charts/chart3.xml"/><Relationship Id="rId93" Type="http://schemas.openxmlformats.org/officeDocument/2006/relationships/chart" Target="charts/chart24.xml"/><Relationship Id="rId98" Type="http://schemas.openxmlformats.org/officeDocument/2006/relationships/chart" Target="charts/chart27.xml"/><Relationship Id="rId121" Type="http://schemas.openxmlformats.org/officeDocument/2006/relationships/chart" Target="charts/chart50.xml"/><Relationship Id="rId142" Type="http://schemas.openxmlformats.org/officeDocument/2006/relationships/chart" Target="charts/chart65.xm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diagramData" Target="diagrams/data3.xml"/><Relationship Id="rId67" Type="http://schemas.openxmlformats.org/officeDocument/2006/relationships/image" Target="media/image29.png"/><Relationship Id="rId116" Type="http://schemas.openxmlformats.org/officeDocument/2006/relationships/chart" Target="charts/chart45.xml"/><Relationship Id="rId137" Type="http://schemas.openxmlformats.org/officeDocument/2006/relationships/chart" Target="charts/chart62.xml"/><Relationship Id="rId20" Type="http://schemas.openxmlformats.org/officeDocument/2006/relationships/hyperlink" Target="https://jeziorapolski.pl/jezioro-wytyckie/" TargetMode="External"/><Relationship Id="rId41" Type="http://schemas.openxmlformats.org/officeDocument/2006/relationships/diagramData" Target="diagrams/data2.xml"/><Relationship Id="rId62" Type="http://schemas.openxmlformats.org/officeDocument/2006/relationships/footer" Target="footer3.xml"/><Relationship Id="rId83" Type="http://schemas.openxmlformats.org/officeDocument/2006/relationships/chart" Target="charts/chart14.xml"/><Relationship Id="rId88" Type="http://schemas.openxmlformats.org/officeDocument/2006/relationships/chart" Target="charts/chart19.xml"/><Relationship Id="rId111" Type="http://schemas.openxmlformats.org/officeDocument/2006/relationships/chart" Target="charts/chart40.xml"/><Relationship Id="rId132" Type="http://schemas.openxmlformats.org/officeDocument/2006/relationships/hyperlink" Target="https://jeziorapolski.pl/jezioro-rotcze-grabniak/" TargetMode="External"/><Relationship Id="rId15" Type="http://schemas.openxmlformats.org/officeDocument/2006/relationships/image" Target="media/image4.png"/><Relationship Id="rId36" Type="http://schemas.openxmlformats.org/officeDocument/2006/relationships/diagramData" Target="diagrams/data1.xml"/><Relationship Id="rId57" Type="http://schemas.openxmlformats.org/officeDocument/2006/relationships/image" Target="media/image24.png"/><Relationship Id="rId106" Type="http://schemas.openxmlformats.org/officeDocument/2006/relationships/chart" Target="charts/chart35.xml"/><Relationship Id="rId127" Type="http://schemas.openxmlformats.org/officeDocument/2006/relationships/chart" Target="charts/chart55.xml"/><Relationship Id="rId10" Type="http://schemas.openxmlformats.org/officeDocument/2006/relationships/footer" Target="footer1.xml"/><Relationship Id="rId31" Type="http://schemas.openxmlformats.org/officeDocument/2006/relationships/image" Target="media/image15.jpeg"/><Relationship Id="rId52" Type="http://schemas.openxmlformats.org/officeDocument/2006/relationships/hyperlink" Target="https://www.funduszeeuropejskie.gov.pl/strony/o-funduszach/fundusze-na-lata-2021-2027/konsultacje-programow/" TargetMode="External"/><Relationship Id="rId73" Type="http://schemas.openxmlformats.org/officeDocument/2006/relationships/chart" Target="charts/chart4.xml"/><Relationship Id="rId78" Type="http://schemas.openxmlformats.org/officeDocument/2006/relationships/chart" Target="charts/chart9.xml"/><Relationship Id="rId94" Type="http://schemas.openxmlformats.org/officeDocument/2006/relationships/chart" Target="charts/chart25.xml"/><Relationship Id="rId99" Type="http://schemas.openxmlformats.org/officeDocument/2006/relationships/chart" Target="charts/chart28.xml"/><Relationship Id="rId101" Type="http://schemas.openxmlformats.org/officeDocument/2006/relationships/chart" Target="charts/chart30.xml"/><Relationship Id="rId122" Type="http://schemas.openxmlformats.org/officeDocument/2006/relationships/chart" Target="charts/chart51.xml"/><Relationship Id="rId143" Type="http://schemas.openxmlformats.org/officeDocument/2006/relationships/chart" Target="charts/chart66.xml"/><Relationship Id="rId148"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image" Target="media/image10.png"/><Relationship Id="rId47" Type="http://schemas.openxmlformats.org/officeDocument/2006/relationships/diagramLayout" Target="diagrams/layout3.xml"/><Relationship Id="rId68" Type="http://schemas.openxmlformats.org/officeDocument/2006/relationships/image" Target="media/image30.png"/><Relationship Id="rId89" Type="http://schemas.openxmlformats.org/officeDocument/2006/relationships/chart" Target="charts/chart20.xml"/><Relationship Id="rId112" Type="http://schemas.openxmlformats.org/officeDocument/2006/relationships/chart" Target="charts/chart41.xml"/><Relationship Id="rId133" Type="http://schemas.openxmlformats.org/officeDocument/2006/relationships/chart" Target="charts/chart58.xml"/><Relationship Id="rId16" Type="http://schemas.openxmlformats.org/officeDocument/2006/relationships/image" Target="media/image5.jpeg"/><Relationship Id="rId37" Type="http://schemas.openxmlformats.org/officeDocument/2006/relationships/diagramLayout" Target="diagrams/layout1.xml"/><Relationship Id="rId58" Type="http://schemas.openxmlformats.org/officeDocument/2006/relationships/image" Target="media/image25.png"/><Relationship Id="rId79" Type="http://schemas.openxmlformats.org/officeDocument/2006/relationships/chart" Target="charts/chart10.xml"/><Relationship Id="rId102" Type="http://schemas.openxmlformats.org/officeDocument/2006/relationships/chart" Target="charts/chart31.xml"/><Relationship Id="rId123" Type="http://schemas.openxmlformats.org/officeDocument/2006/relationships/chart" Target="charts/chart52.xml"/><Relationship Id="rId144" Type="http://schemas.openxmlformats.org/officeDocument/2006/relationships/header" Target="header7.xml"/><Relationship Id="rId90" Type="http://schemas.openxmlformats.org/officeDocument/2006/relationships/chart" Target="charts/chart21.xml"/></Relationships>
</file>

<file path=word/_rels/footer2.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rkgw.arimr.gov.pl/" TargetMode="External"/><Relationship Id="rId2" Type="http://schemas.openxmlformats.org/officeDocument/2006/relationships/hyperlink" Target="https://www.gov.pl/web/rozwoj-praca-technologia/gospodarka-o-obiegu-zamknietym" TargetMode="External"/><Relationship Id="rId1" Type="http://schemas.openxmlformats.org/officeDocument/2006/relationships/hyperlink" Target="https://www.funduszeeuropejskie.gov.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8.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title>
      <c:tx>
        <c:rich>
          <a:bodyPr rot="0"/>
          <a:lstStyle/>
          <a:p>
            <a:pPr>
              <a:defRPr sz="1400" b="0" strike="noStrike" spc="-1">
                <a:solidFill>
                  <a:srgbClr val="595959"/>
                </a:solidFill>
                <a:latin typeface="Calibri"/>
              </a:defRPr>
            </a:pPr>
            <a:r>
              <a:rPr lang="pl-PL" sz="1400" b="0" strike="noStrike" spc="-1">
                <a:solidFill>
                  <a:srgbClr val="595959"/>
                </a:solidFill>
                <a:latin typeface="Calibri"/>
              </a:rPr>
              <a:t>Udział bezrobotnych zarejestrowanych w liczbie ludności w wieku produkcyjnym</a:t>
            </a:r>
          </a:p>
        </c:rich>
      </c:tx>
      <c:overlay val="0"/>
      <c:spPr>
        <a:noFill/>
        <a:ln>
          <a:noFill/>
        </a:ln>
      </c:spPr>
    </c:title>
    <c:autoTitleDeleted val="0"/>
    <c:plotArea>
      <c:layout/>
      <c:barChart>
        <c:barDir val="col"/>
        <c:grouping val="clustered"/>
        <c:varyColors val="0"/>
        <c:ser>
          <c:idx val="0"/>
          <c:order val="0"/>
          <c:tx>
            <c:strRef>
              <c:f>label 0</c:f>
              <c:strCache>
                <c:ptCount val="1"/>
                <c:pt idx="0">
                  <c:v>ogółem</c:v>
                </c:pt>
              </c:strCache>
            </c:strRef>
          </c:tx>
          <c:spPr>
            <a:solidFill>
              <a:srgbClr val="5089BD"/>
            </a:solidFill>
            <a:ln>
              <a:noFill/>
            </a:ln>
          </c:spPr>
          <c:invertIfNegative val="0"/>
          <c:dLbls>
            <c:txPr>
              <a:bodyPr/>
              <a:lstStyle/>
              <a:p>
                <a:pPr>
                  <a:defRPr sz="900" b="0" strike="noStrike" spc="-1">
                    <a:solidFill>
                      <a:srgbClr val="404040"/>
                    </a:solidFill>
                    <a:latin typeface="Calibri"/>
                  </a:defRPr>
                </a:pPr>
                <a:endParaRPr lang="pl-PL"/>
              </a:p>
            </c:txPr>
            <c:dLblPos val="outEnd"/>
            <c:showLegendKey val="0"/>
            <c:showVal val="1"/>
            <c:showCatName val="0"/>
            <c:showSerName val="0"/>
            <c:showPercent val="0"/>
            <c:showBubbleSize val="1"/>
            <c:separator>; </c:separator>
            <c:showLeaderLines val="0"/>
          </c:dLbls>
          <c:cat>
            <c:strRef>
              <c:f>categories</c:f>
              <c:strCache>
                <c:ptCount val="5"/>
                <c:pt idx="0">
                  <c:v>Ludwin</c:v>
                </c:pt>
                <c:pt idx="1">
                  <c:v>Milejów</c:v>
                </c:pt>
                <c:pt idx="2">
                  <c:v>Cyców</c:v>
                </c:pt>
                <c:pt idx="3">
                  <c:v>Puchaczów</c:v>
                </c:pt>
                <c:pt idx="4">
                  <c:v>Urszulin</c:v>
                </c:pt>
              </c:strCache>
            </c:strRef>
          </c:cat>
          <c:val>
            <c:numRef>
              <c:f>0</c:f>
              <c:numCache>
                <c:formatCode>General</c:formatCode>
                <c:ptCount val="5"/>
                <c:pt idx="0">
                  <c:v>4.5999999999999996</c:v>
                </c:pt>
                <c:pt idx="1">
                  <c:v>4.4000000000000004</c:v>
                </c:pt>
                <c:pt idx="2">
                  <c:v>4.0999999999999996</c:v>
                </c:pt>
                <c:pt idx="3">
                  <c:v>3.7</c:v>
                </c:pt>
                <c:pt idx="4">
                  <c:v>7.2</c:v>
                </c:pt>
              </c:numCache>
            </c:numRef>
          </c:val>
        </c:ser>
        <c:ser>
          <c:idx val="1"/>
          <c:order val="1"/>
          <c:tx>
            <c:strRef>
              <c:f>label 1</c:f>
              <c:strCache>
                <c:ptCount val="1"/>
                <c:pt idx="0">
                  <c:v>kobiety</c:v>
                </c:pt>
              </c:strCache>
            </c:strRef>
          </c:tx>
          <c:spPr>
            <a:solidFill>
              <a:srgbClr val="97B8DF"/>
            </a:solidFill>
            <a:ln>
              <a:noFill/>
            </a:ln>
          </c:spPr>
          <c:invertIfNegative val="0"/>
          <c:dLbls>
            <c:txPr>
              <a:bodyPr/>
              <a:lstStyle/>
              <a:p>
                <a:pPr>
                  <a:defRPr sz="900" b="0" strike="noStrike" spc="-1">
                    <a:solidFill>
                      <a:srgbClr val="404040"/>
                    </a:solidFill>
                    <a:latin typeface="Calibri"/>
                  </a:defRPr>
                </a:pPr>
                <a:endParaRPr lang="pl-PL"/>
              </a:p>
            </c:txPr>
            <c:dLblPos val="outEnd"/>
            <c:showLegendKey val="0"/>
            <c:showVal val="1"/>
            <c:showCatName val="0"/>
            <c:showSerName val="0"/>
            <c:showPercent val="0"/>
            <c:showBubbleSize val="1"/>
            <c:separator>; </c:separator>
            <c:showLeaderLines val="0"/>
          </c:dLbls>
          <c:cat>
            <c:strRef>
              <c:f>categories</c:f>
              <c:strCache>
                <c:ptCount val="5"/>
                <c:pt idx="0">
                  <c:v>Ludwin</c:v>
                </c:pt>
                <c:pt idx="1">
                  <c:v>Milejów</c:v>
                </c:pt>
                <c:pt idx="2">
                  <c:v>Cyców</c:v>
                </c:pt>
                <c:pt idx="3">
                  <c:v>Puchaczów</c:v>
                </c:pt>
                <c:pt idx="4">
                  <c:v>Urszulin</c:v>
                </c:pt>
              </c:strCache>
            </c:strRef>
          </c:cat>
          <c:val>
            <c:numRef>
              <c:f>1</c:f>
              <c:numCache>
                <c:formatCode>General</c:formatCode>
                <c:ptCount val="5"/>
                <c:pt idx="0">
                  <c:v>5.4</c:v>
                </c:pt>
                <c:pt idx="1">
                  <c:v>5.3</c:v>
                </c:pt>
                <c:pt idx="2">
                  <c:v>5.2</c:v>
                </c:pt>
                <c:pt idx="3">
                  <c:v>5.0999999999999996</c:v>
                </c:pt>
                <c:pt idx="4">
                  <c:v>10.1</c:v>
                </c:pt>
              </c:numCache>
            </c:numRef>
          </c:val>
        </c:ser>
        <c:dLbls>
          <c:showLegendKey val="0"/>
          <c:showVal val="0"/>
          <c:showCatName val="0"/>
          <c:showSerName val="0"/>
          <c:showPercent val="0"/>
          <c:showBubbleSize val="0"/>
        </c:dLbls>
        <c:gapWidth val="219"/>
        <c:overlap val="-27"/>
        <c:axId val="177287168"/>
        <c:axId val="176845312"/>
      </c:barChart>
      <c:catAx>
        <c:axId val="17728716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176845312"/>
        <c:crosses val="autoZero"/>
        <c:auto val="1"/>
        <c:lblAlgn val="ctr"/>
        <c:lblOffset val="100"/>
        <c:noMultiLvlLbl val="1"/>
      </c:catAx>
      <c:valAx>
        <c:axId val="17684531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177287168"/>
        <c:crosses val="autoZero"/>
        <c:crossBetween val="between"/>
      </c:valAx>
      <c:spPr>
        <a:noFill/>
        <a:ln>
          <a:noFill/>
        </a:ln>
      </c:spPr>
    </c:plotArea>
    <c:legend>
      <c:legendPos val="b"/>
      <c:overlay val="0"/>
      <c:spPr>
        <a:noFill/>
        <a:ln>
          <a:noFill/>
        </a:ln>
      </c:spPr>
      <c:txPr>
        <a:bodyPr/>
        <a:lstStyle/>
        <a:p>
          <a:pPr>
            <a:defRPr sz="900" b="0" strike="noStrike" spc="-1">
              <a:solidFill>
                <a:srgbClr val="595959"/>
              </a:solidFill>
              <a:latin typeface="Calibri"/>
            </a:defRPr>
          </a:pPr>
          <a:endParaRPr lang="pl-PL"/>
        </a:p>
      </c:txPr>
    </c:legend>
    <c:plotVisOnly val="1"/>
    <c:dispBlanksAs val="gap"/>
    <c:showDLblsOverMax val="1"/>
  </c:chart>
  <c:spPr>
    <a:solidFill>
      <a:srgbClr val="FFFFFF"/>
    </a:solidFill>
    <a:ln w="9360">
      <a:solidFill>
        <a:srgbClr val="D9D9D9"/>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Cyców</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0</c:f>
              <c:numCache>
                <c:formatCode>General</c:formatCode>
                <c:ptCount val="10"/>
                <c:pt idx="0">
                  <c:v>11.2</c:v>
                </c:pt>
                <c:pt idx="1">
                  <c:v>9.83</c:v>
                </c:pt>
                <c:pt idx="2">
                  <c:v>11.96</c:v>
                </c:pt>
                <c:pt idx="3">
                  <c:v>11.48</c:v>
                </c:pt>
                <c:pt idx="4">
                  <c:v>11.55</c:v>
                </c:pt>
                <c:pt idx="5">
                  <c:v>10.19</c:v>
                </c:pt>
                <c:pt idx="6">
                  <c:v>9.33</c:v>
                </c:pt>
                <c:pt idx="7">
                  <c:v>10.95</c:v>
                </c:pt>
                <c:pt idx="8">
                  <c:v>9.09</c:v>
                </c:pt>
                <c:pt idx="9">
                  <c:v>8.7899999999999991</c:v>
                </c:pt>
              </c:numCache>
            </c:numRef>
          </c:val>
        </c:ser>
        <c:ser>
          <c:idx val="1"/>
          <c:order val="1"/>
          <c:tx>
            <c:strRef>
              <c:f>label 1</c:f>
              <c:strCache>
                <c:ptCount val="1"/>
                <c:pt idx="0">
                  <c:v>Ludwin</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1</c:f>
              <c:numCache>
                <c:formatCode>General</c:formatCode>
                <c:ptCount val="10"/>
                <c:pt idx="0">
                  <c:v>10.93</c:v>
                </c:pt>
                <c:pt idx="1">
                  <c:v>13.43</c:v>
                </c:pt>
                <c:pt idx="2">
                  <c:v>15.21</c:v>
                </c:pt>
                <c:pt idx="3">
                  <c:v>11.26</c:v>
                </c:pt>
                <c:pt idx="4">
                  <c:v>14.06</c:v>
                </c:pt>
                <c:pt idx="5">
                  <c:v>9.82</c:v>
                </c:pt>
                <c:pt idx="6">
                  <c:v>7.44</c:v>
                </c:pt>
                <c:pt idx="7">
                  <c:v>10.32</c:v>
                </c:pt>
                <c:pt idx="8">
                  <c:v>10.54</c:v>
                </c:pt>
                <c:pt idx="9">
                  <c:v>9.43</c:v>
                </c:pt>
              </c:numCache>
            </c:numRef>
          </c:val>
        </c:ser>
        <c:ser>
          <c:idx val="2"/>
          <c:order val="2"/>
          <c:tx>
            <c:strRef>
              <c:f>label 2</c:f>
              <c:strCache>
                <c:ptCount val="1"/>
                <c:pt idx="0">
                  <c:v>Milejów</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2</c:f>
              <c:numCache>
                <c:formatCode>General</c:formatCode>
                <c:ptCount val="10"/>
                <c:pt idx="0">
                  <c:v>10.210000000000001</c:v>
                </c:pt>
                <c:pt idx="1">
                  <c:v>8.66</c:v>
                </c:pt>
                <c:pt idx="2">
                  <c:v>10.01</c:v>
                </c:pt>
                <c:pt idx="3">
                  <c:v>8.43</c:v>
                </c:pt>
                <c:pt idx="4">
                  <c:v>8.92</c:v>
                </c:pt>
                <c:pt idx="5">
                  <c:v>11.18</c:v>
                </c:pt>
                <c:pt idx="6">
                  <c:v>10.28</c:v>
                </c:pt>
                <c:pt idx="7">
                  <c:v>11.65</c:v>
                </c:pt>
                <c:pt idx="8">
                  <c:v>14.79</c:v>
                </c:pt>
                <c:pt idx="9">
                  <c:v>8.81</c:v>
                </c:pt>
              </c:numCache>
            </c:numRef>
          </c:val>
        </c:ser>
        <c:ser>
          <c:idx val="3"/>
          <c:order val="3"/>
          <c:tx>
            <c:strRef>
              <c:f>label 3</c:f>
              <c:strCache>
                <c:ptCount val="1"/>
                <c:pt idx="0">
                  <c:v>Puchaczów</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3</c:f>
              <c:numCache>
                <c:formatCode>General</c:formatCode>
                <c:ptCount val="10"/>
                <c:pt idx="0">
                  <c:v>8.89</c:v>
                </c:pt>
                <c:pt idx="1">
                  <c:v>10.5</c:v>
                </c:pt>
                <c:pt idx="2">
                  <c:v>11.47</c:v>
                </c:pt>
                <c:pt idx="3">
                  <c:v>13.49</c:v>
                </c:pt>
                <c:pt idx="4">
                  <c:v>10.74</c:v>
                </c:pt>
                <c:pt idx="5">
                  <c:v>7.44</c:v>
                </c:pt>
                <c:pt idx="6">
                  <c:v>9.0500000000000007</c:v>
                </c:pt>
                <c:pt idx="7">
                  <c:v>9.68</c:v>
                </c:pt>
                <c:pt idx="8">
                  <c:v>8.52</c:v>
                </c:pt>
                <c:pt idx="9">
                  <c:v>9.86</c:v>
                </c:pt>
              </c:numCache>
            </c:numRef>
          </c:val>
        </c:ser>
        <c:ser>
          <c:idx val="4"/>
          <c:order val="4"/>
          <c:tx>
            <c:strRef>
              <c:f>label 4</c:f>
              <c:strCache>
                <c:ptCount val="1"/>
                <c:pt idx="0">
                  <c:v>Urszulin</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4</c:f>
              <c:numCache>
                <c:formatCode>General</c:formatCode>
                <c:ptCount val="10"/>
                <c:pt idx="0">
                  <c:v>9.7100000000000009</c:v>
                </c:pt>
                <c:pt idx="1">
                  <c:v>12.14</c:v>
                </c:pt>
                <c:pt idx="2">
                  <c:v>11.33</c:v>
                </c:pt>
                <c:pt idx="3">
                  <c:v>11.61</c:v>
                </c:pt>
                <c:pt idx="4">
                  <c:v>10.11</c:v>
                </c:pt>
                <c:pt idx="5">
                  <c:v>11.17</c:v>
                </c:pt>
                <c:pt idx="6">
                  <c:v>12.14</c:v>
                </c:pt>
                <c:pt idx="7">
                  <c:v>12.53</c:v>
                </c:pt>
                <c:pt idx="8">
                  <c:v>12.82</c:v>
                </c:pt>
                <c:pt idx="9">
                  <c:v>13.72</c:v>
                </c:pt>
              </c:numCache>
            </c:numRef>
          </c:val>
        </c:ser>
        <c:dLbls>
          <c:showLegendKey val="0"/>
          <c:showVal val="0"/>
          <c:showCatName val="0"/>
          <c:showSerName val="0"/>
          <c:showPercent val="0"/>
          <c:showBubbleSize val="0"/>
        </c:dLbls>
        <c:gapWidth val="219"/>
        <c:overlap val="-27"/>
        <c:axId val="148082688"/>
        <c:axId val="146876096"/>
      </c:barChart>
      <c:catAx>
        <c:axId val="14808268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146876096"/>
        <c:crosses val="autoZero"/>
        <c:auto val="1"/>
        <c:lblAlgn val="ctr"/>
        <c:lblOffset val="100"/>
        <c:noMultiLvlLbl val="1"/>
      </c:catAx>
      <c:valAx>
        <c:axId val="146876096"/>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148082688"/>
        <c:crosses val="autoZero"/>
        <c:crossBetween val="between"/>
        <c:majorUnit val="4"/>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Seria bez nazwy 1</c:v>
                </c:pt>
              </c:strCache>
            </c:strRef>
          </c:tx>
          <c:spPr>
            <a:ln w="28440">
              <a:solidFill>
                <a:srgbClr val="5B9BD5"/>
              </a:solidFill>
              <a:round/>
            </a:ln>
          </c:spPr>
          <c:marker>
            <c:symbol val="circle"/>
            <c:size val="5"/>
            <c:spPr>
              <a:solidFill>
                <a:srgbClr val="5B9BD5"/>
              </a:solidFill>
            </c:spPr>
          </c:marker>
          <c:dLbls>
            <c:txPr>
              <a:bodyPr/>
              <a:lstStyle/>
              <a:p>
                <a:pPr>
                  <a:defRPr sz="900" b="0" strike="noStrike" spc="-1">
                    <a:solidFill>
                      <a:srgbClr val="404040"/>
                    </a:solidFill>
                    <a:latin typeface="Calibri"/>
                  </a:defRPr>
                </a:pPr>
                <a:endParaRPr lang="pl-PL"/>
              </a:p>
            </c:txPr>
            <c:dLblPos val="t"/>
            <c:showLegendKey val="0"/>
            <c:showVal val="1"/>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5.58</c:v>
                </c:pt>
                <c:pt idx="1">
                  <c:v>5.24</c:v>
                </c:pt>
                <c:pt idx="2">
                  <c:v>4.88</c:v>
                </c:pt>
                <c:pt idx="3">
                  <c:v>5.0199999999999996</c:v>
                </c:pt>
                <c:pt idx="4">
                  <c:v>5.5</c:v>
                </c:pt>
              </c:numCache>
            </c:numRef>
          </c:val>
          <c:smooth val="0"/>
        </c:ser>
        <c:dLbls>
          <c:showLegendKey val="0"/>
          <c:showVal val="0"/>
          <c:showCatName val="0"/>
          <c:showSerName val="0"/>
          <c:showPercent val="0"/>
          <c:showBubbleSize val="0"/>
        </c:dLbls>
        <c:hiLowLines>
          <c:spPr>
            <a:ln>
              <a:noFill/>
            </a:ln>
          </c:spPr>
        </c:hiLowLines>
        <c:marker val="1"/>
        <c:smooth val="0"/>
        <c:axId val="148084224"/>
        <c:axId val="146877824"/>
      </c:lineChart>
      <c:catAx>
        <c:axId val="148084224"/>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146877824"/>
        <c:crosses val="autoZero"/>
        <c:auto val="1"/>
        <c:lblAlgn val="ctr"/>
        <c:lblOffset val="100"/>
        <c:noMultiLvlLbl val="1"/>
      </c:catAx>
      <c:valAx>
        <c:axId val="146877824"/>
        <c:scaling>
          <c:orientation val="minMax"/>
        </c:scaling>
        <c:delete val="1"/>
        <c:axPos val="l"/>
        <c:numFmt formatCode="##,#0\.0" sourceLinked="0"/>
        <c:majorTickMark val="none"/>
        <c:minorTickMark val="none"/>
        <c:tickLblPos val="nextTo"/>
        <c:crossAx val="148084224"/>
        <c:crosses val="autoZero"/>
        <c:crossBetween val="midCat"/>
      </c:valAx>
      <c:spPr>
        <a:noFill/>
        <a:ln>
          <a:noFill/>
        </a:ln>
      </c:spPr>
    </c:plotArea>
    <c:plotVisOnly val="1"/>
    <c:dispBlanksAs val="gap"/>
    <c:showDLblsOverMax val="1"/>
  </c:chart>
  <c:spPr>
    <a:noFill/>
    <a:ln w="9360">
      <a:noFill/>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bar"/>
        <c:grouping val="percentStacked"/>
        <c:varyColors val="0"/>
        <c:ser>
          <c:idx val="0"/>
          <c:order val="0"/>
          <c:tx>
            <c:strRef>
              <c:f>label 0</c:f>
              <c:strCache>
                <c:ptCount val="1"/>
                <c:pt idx="0">
                  <c:v>0-4</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1735</c:v>
                </c:pt>
                <c:pt idx="1">
                  <c:v>1750</c:v>
                </c:pt>
                <c:pt idx="2">
                  <c:v>1765</c:v>
                </c:pt>
                <c:pt idx="3">
                  <c:v>1777</c:v>
                </c:pt>
                <c:pt idx="4">
                  <c:v>1760</c:v>
                </c:pt>
              </c:numCache>
            </c:numRef>
          </c:val>
        </c:ser>
        <c:ser>
          <c:idx val="1"/>
          <c:order val="1"/>
          <c:tx>
            <c:strRef>
              <c:f>label 1</c:f>
              <c:strCache>
                <c:ptCount val="1"/>
                <c:pt idx="0">
                  <c:v>5-9</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1928</c:v>
                </c:pt>
                <c:pt idx="1">
                  <c:v>1927</c:v>
                </c:pt>
                <c:pt idx="2">
                  <c:v>1952</c:v>
                </c:pt>
                <c:pt idx="3">
                  <c:v>1922</c:v>
                </c:pt>
                <c:pt idx="4">
                  <c:v>1860</c:v>
                </c:pt>
              </c:numCache>
            </c:numRef>
          </c:val>
        </c:ser>
        <c:ser>
          <c:idx val="2"/>
          <c:order val="2"/>
          <c:tx>
            <c:strRef>
              <c:f>label 2</c:f>
              <c:strCache>
                <c:ptCount val="1"/>
                <c:pt idx="0">
                  <c:v>10-14</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1813</c:v>
                </c:pt>
                <c:pt idx="1">
                  <c:v>1821</c:v>
                </c:pt>
                <c:pt idx="2">
                  <c:v>1842</c:v>
                </c:pt>
                <c:pt idx="3">
                  <c:v>1891</c:v>
                </c:pt>
                <c:pt idx="4">
                  <c:v>1927</c:v>
                </c:pt>
              </c:numCache>
            </c:numRef>
          </c:val>
        </c:ser>
        <c:ser>
          <c:idx val="3"/>
          <c:order val="3"/>
          <c:tx>
            <c:strRef>
              <c:f>label 3</c:f>
              <c:strCache>
                <c:ptCount val="1"/>
                <c:pt idx="0">
                  <c:v>15-19</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3</c:f>
              <c:numCache>
                <c:formatCode>General</c:formatCode>
                <c:ptCount val="5"/>
                <c:pt idx="0">
                  <c:v>1758</c:v>
                </c:pt>
                <c:pt idx="1">
                  <c:v>1700</c:v>
                </c:pt>
                <c:pt idx="2">
                  <c:v>1672</c:v>
                </c:pt>
                <c:pt idx="3">
                  <c:v>1671</c:v>
                </c:pt>
                <c:pt idx="4">
                  <c:v>1621</c:v>
                </c:pt>
              </c:numCache>
            </c:numRef>
          </c:val>
        </c:ser>
        <c:ser>
          <c:idx val="4"/>
          <c:order val="4"/>
          <c:tx>
            <c:strRef>
              <c:f>label 4</c:f>
              <c:strCache>
                <c:ptCount val="1"/>
                <c:pt idx="0">
                  <c:v>20-24</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4</c:f>
              <c:numCache>
                <c:formatCode>General</c:formatCode>
                <c:ptCount val="5"/>
                <c:pt idx="0">
                  <c:v>2520</c:v>
                </c:pt>
                <c:pt idx="1">
                  <c:v>2431</c:v>
                </c:pt>
                <c:pt idx="2">
                  <c:v>2279</c:v>
                </c:pt>
                <c:pt idx="3">
                  <c:v>2155</c:v>
                </c:pt>
                <c:pt idx="4">
                  <c:v>2093</c:v>
                </c:pt>
              </c:numCache>
            </c:numRef>
          </c:val>
        </c:ser>
        <c:ser>
          <c:idx val="5"/>
          <c:order val="5"/>
          <c:tx>
            <c:strRef>
              <c:f>label 5</c:f>
              <c:strCache>
                <c:ptCount val="1"/>
                <c:pt idx="0">
                  <c:v>25-29</c:v>
                </c:pt>
              </c:strCache>
            </c:strRef>
          </c:tx>
          <c:spPr>
            <a:solidFill>
              <a:srgbClr val="70AD47"/>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5</c:f>
              <c:numCache>
                <c:formatCode>General</c:formatCode>
                <c:ptCount val="5"/>
                <c:pt idx="0">
                  <c:v>2467</c:v>
                </c:pt>
                <c:pt idx="1">
                  <c:v>2474</c:v>
                </c:pt>
                <c:pt idx="2">
                  <c:v>2548</c:v>
                </c:pt>
                <c:pt idx="3">
                  <c:v>2553</c:v>
                </c:pt>
                <c:pt idx="4">
                  <c:v>2472</c:v>
                </c:pt>
              </c:numCache>
            </c:numRef>
          </c:val>
        </c:ser>
        <c:ser>
          <c:idx val="6"/>
          <c:order val="6"/>
          <c:tx>
            <c:strRef>
              <c:f>label 6</c:f>
              <c:strCache>
                <c:ptCount val="1"/>
                <c:pt idx="0">
                  <c:v>30-34</c:v>
                </c:pt>
              </c:strCache>
            </c:strRef>
          </c:tx>
          <c:spPr>
            <a:solidFill>
              <a:srgbClr val="255E91"/>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6</c:f>
              <c:numCache>
                <c:formatCode>General</c:formatCode>
                <c:ptCount val="5"/>
                <c:pt idx="0">
                  <c:v>2661</c:v>
                </c:pt>
                <c:pt idx="1">
                  <c:v>2683</c:v>
                </c:pt>
                <c:pt idx="2">
                  <c:v>2604</c:v>
                </c:pt>
                <c:pt idx="3">
                  <c:v>2518</c:v>
                </c:pt>
                <c:pt idx="4">
                  <c:v>2449</c:v>
                </c:pt>
              </c:numCache>
            </c:numRef>
          </c:val>
        </c:ser>
        <c:ser>
          <c:idx val="7"/>
          <c:order val="7"/>
          <c:tx>
            <c:strRef>
              <c:f>label 7</c:f>
              <c:strCache>
                <c:ptCount val="1"/>
                <c:pt idx="0">
                  <c:v>35-39</c:v>
                </c:pt>
              </c:strCache>
            </c:strRef>
          </c:tx>
          <c:spPr>
            <a:solidFill>
              <a:srgbClr val="9E480E"/>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7</c:f>
              <c:numCache>
                <c:formatCode>General</c:formatCode>
                <c:ptCount val="5"/>
                <c:pt idx="0">
                  <c:v>2504</c:v>
                </c:pt>
                <c:pt idx="1">
                  <c:v>2513</c:v>
                </c:pt>
                <c:pt idx="2">
                  <c:v>2549</c:v>
                </c:pt>
                <c:pt idx="3">
                  <c:v>2640</c:v>
                </c:pt>
                <c:pt idx="4">
                  <c:v>2628</c:v>
                </c:pt>
              </c:numCache>
            </c:numRef>
          </c:val>
        </c:ser>
        <c:ser>
          <c:idx val="8"/>
          <c:order val="8"/>
          <c:tx>
            <c:strRef>
              <c:f>label 8</c:f>
              <c:strCache>
                <c:ptCount val="1"/>
                <c:pt idx="0">
                  <c:v>40-44</c:v>
                </c:pt>
              </c:strCache>
            </c:strRef>
          </c:tx>
          <c:spPr>
            <a:solidFill>
              <a:srgbClr val="636363"/>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8</c:f>
              <c:numCache>
                <c:formatCode>General</c:formatCode>
                <c:ptCount val="5"/>
                <c:pt idx="0">
                  <c:v>2165</c:v>
                </c:pt>
                <c:pt idx="1">
                  <c:v>2244</c:v>
                </c:pt>
                <c:pt idx="2">
                  <c:v>2339</c:v>
                </c:pt>
                <c:pt idx="3">
                  <c:v>2399</c:v>
                </c:pt>
                <c:pt idx="4">
                  <c:v>2510</c:v>
                </c:pt>
              </c:numCache>
            </c:numRef>
          </c:val>
        </c:ser>
        <c:ser>
          <c:idx val="9"/>
          <c:order val="9"/>
          <c:tx>
            <c:strRef>
              <c:f>label 9</c:f>
              <c:strCache>
                <c:ptCount val="1"/>
                <c:pt idx="0">
                  <c:v>45-49</c:v>
                </c:pt>
              </c:strCache>
            </c:strRef>
          </c:tx>
          <c:spPr>
            <a:solidFill>
              <a:srgbClr val="997300"/>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9</c:f>
              <c:numCache>
                <c:formatCode>General</c:formatCode>
                <c:ptCount val="5"/>
                <c:pt idx="0">
                  <c:v>1961</c:v>
                </c:pt>
                <c:pt idx="1">
                  <c:v>1962</c:v>
                </c:pt>
                <c:pt idx="2">
                  <c:v>1948</c:v>
                </c:pt>
                <c:pt idx="3">
                  <c:v>2010</c:v>
                </c:pt>
                <c:pt idx="4">
                  <c:v>2060</c:v>
                </c:pt>
              </c:numCache>
            </c:numRef>
          </c:val>
        </c:ser>
        <c:ser>
          <c:idx val="10"/>
          <c:order val="10"/>
          <c:tx>
            <c:strRef>
              <c:f>label 10</c:f>
              <c:strCache>
                <c:ptCount val="1"/>
                <c:pt idx="0">
                  <c:v>50-54</c:v>
                </c:pt>
              </c:strCache>
            </c:strRef>
          </c:tx>
          <c:spPr>
            <a:solidFill>
              <a:srgbClr val="264478"/>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10</c:f>
              <c:numCache>
                <c:formatCode>General</c:formatCode>
                <c:ptCount val="5"/>
                <c:pt idx="0">
                  <c:v>1947</c:v>
                </c:pt>
                <c:pt idx="1">
                  <c:v>1898</c:v>
                </c:pt>
                <c:pt idx="2">
                  <c:v>1921</c:v>
                </c:pt>
                <c:pt idx="3">
                  <c:v>1870</c:v>
                </c:pt>
                <c:pt idx="4">
                  <c:v>1899</c:v>
                </c:pt>
              </c:numCache>
            </c:numRef>
          </c:val>
        </c:ser>
        <c:ser>
          <c:idx val="11"/>
          <c:order val="11"/>
          <c:tx>
            <c:strRef>
              <c:f>label 11</c:f>
              <c:strCache>
                <c:ptCount val="1"/>
                <c:pt idx="0">
                  <c:v>55-59</c:v>
                </c:pt>
              </c:strCache>
            </c:strRef>
          </c:tx>
          <c:spPr>
            <a:solidFill>
              <a:srgbClr val="43682B"/>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11</c:f>
              <c:numCache>
                <c:formatCode>General</c:formatCode>
                <c:ptCount val="5"/>
                <c:pt idx="0">
                  <c:v>2159</c:v>
                </c:pt>
                <c:pt idx="1">
                  <c:v>2169</c:v>
                </c:pt>
                <c:pt idx="2">
                  <c:v>2093</c:v>
                </c:pt>
                <c:pt idx="3">
                  <c:v>2025</c:v>
                </c:pt>
                <c:pt idx="4">
                  <c:v>1937</c:v>
                </c:pt>
              </c:numCache>
            </c:numRef>
          </c:val>
        </c:ser>
        <c:ser>
          <c:idx val="12"/>
          <c:order val="12"/>
          <c:tx>
            <c:strRef>
              <c:f>label 12</c:f>
              <c:strCache>
                <c:ptCount val="1"/>
                <c:pt idx="0">
                  <c:v>60-64</c:v>
                </c:pt>
              </c:strCache>
            </c:strRef>
          </c:tx>
          <c:spPr>
            <a:solidFill>
              <a:srgbClr val="7CAFDD"/>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12</c:f>
              <c:numCache>
                <c:formatCode>General</c:formatCode>
                <c:ptCount val="5"/>
                <c:pt idx="0">
                  <c:v>1893</c:v>
                </c:pt>
                <c:pt idx="1">
                  <c:v>1938</c:v>
                </c:pt>
                <c:pt idx="2">
                  <c:v>1985</c:v>
                </c:pt>
                <c:pt idx="3">
                  <c:v>2040</c:v>
                </c:pt>
                <c:pt idx="4">
                  <c:v>2062</c:v>
                </c:pt>
              </c:numCache>
            </c:numRef>
          </c:val>
        </c:ser>
        <c:ser>
          <c:idx val="13"/>
          <c:order val="13"/>
          <c:tx>
            <c:strRef>
              <c:f>label 13</c:f>
              <c:strCache>
                <c:ptCount val="1"/>
                <c:pt idx="0">
                  <c:v>65-69</c:v>
                </c:pt>
              </c:strCache>
            </c:strRef>
          </c:tx>
          <c:spPr>
            <a:solidFill>
              <a:srgbClr val="F1975A"/>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13</c:f>
              <c:numCache>
                <c:formatCode>General</c:formatCode>
                <c:ptCount val="5"/>
                <c:pt idx="0">
                  <c:v>1513</c:v>
                </c:pt>
                <c:pt idx="1">
                  <c:v>1612</c:v>
                </c:pt>
                <c:pt idx="2">
                  <c:v>1634</c:v>
                </c:pt>
                <c:pt idx="3">
                  <c:v>1712</c:v>
                </c:pt>
                <c:pt idx="4">
                  <c:v>1736</c:v>
                </c:pt>
              </c:numCache>
            </c:numRef>
          </c:val>
        </c:ser>
        <c:ser>
          <c:idx val="14"/>
          <c:order val="14"/>
          <c:tx>
            <c:strRef>
              <c:f>label 14</c:f>
              <c:strCache>
                <c:ptCount val="1"/>
                <c:pt idx="0">
                  <c:v>70 i więcej</c:v>
                </c:pt>
              </c:strCache>
            </c:strRef>
          </c:tx>
          <c:spPr>
            <a:solidFill>
              <a:srgbClr val="B7B7B7"/>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14</c:f>
              <c:numCache>
                <c:formatCode>General</c:formatCode>
                <c:ptCount val="5"/>
                <c:pt idx="0">
                  <c:v>3245</c:v>
                </c:pt>
                <c:pt idx="1">
                  <c:v>3237</c:v>
                </c:pt>
                <c:pt idx="2">
                  <c:v>3305</c:v>
                </c:pt>
                <c:pt idx="3">
                  <c:v>3349</c:v>
                </c:pt>
                <c:pt idx="4">
                  <c:v>3463</c:v>
                </c:pt>
              </c:numCache>
            </c:numRef>
          </c:val>
        </c:ser>
        <c:dLbls>
          <c:showLegendKey val="0"/>
          <c:showVal val="0"/>
          <c:showCatName val="0"/>
          <c:showSerName val="0"/>
          <c:showPercent val="0"/>
          <c:showBubbleSize val="0"/>
        </c:dLbls>
        <c:gapWidth val="150"/>
        <c:overlap val="100"/>
        <c:axId val="148084736"/>
        <c:axId val="146879552"/>
      </c:barChart>
      <c:catAx>
        <c:axId val="148084736"/>
        <c:scaling>
          <c:orientation val="minMax"/>
        </c:scaling>
        <c:delete val="0"/>
        <c:axPos val="l"/>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146879552"/>
        <c:crosses val="autoZero"/>
        <c:auto val="1"/>
        <c:lblAlgn val="ctr"/>
        <c:lblOffset val="100"/>
        <c:noMultiLvlLbl val="1"/>
      </c:catAx>
      <c:valAx>
        <c:axId val="146879552"/>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148084736"/>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bar"/>
        <c:grouping val="percentStacked"/>
        <c:varyColors val="0"/>
        <c:ser>
          <c:idx val="0"/>
          <c:order val="0"/>
          <c:tx>
            <c:strRef>
              <c:f>label 0</c:f>
              <c:strCache>
                <c:ptCount val="1"/>
                <c:pt idx="0">
                  <c:v>w wieku przedprodukcyjnym</c:v>
                </c:pt>
              </c:strCache>
            </c:strRef>
          </c:tx>
          <c:spPr>
            <a:solidFill>
              <a:srgbClr val="5B9BD5"/>
            </a:solidFill>
            <a:ln>
              <a:noFill/>
            </a:ln>
          </c:spPr>
          <c:invertIfNegative val="0"/>
          <c:dLbls>
            <c:txPr>
              <a:bodyPr/>
              <a:lstStyle/>
              <a:p>
                <a:pPr>
                  <a:defRPr sz="900" b="0" strike="noStrike" spc="-1">
                    <a:solidFill>
                      <a:srgbClr val="FFFFFF"/>
                    </a:solidFill>
                    <a:latin typeface="Calibri"/>
                  </a:defRPr>
                </a:pPr>
                <a:endParaRPr lang="pl-PL"/>
              </a:p>
            </c:txPr>
            <c:dLblPos val="ctr"/>
            <c:showLegendKey val="0"/>
            <c:showVal val="1"/>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20.2</c:v>
                </c:pt>
                <c:pt idx="1">
                  <c:v>20.22</c:v>
                </c:pt>
                <c:pt idx="2">
                  <c:v>20.32</c:v>
                </c:pt>
                <c:pt idx="3">
                  <c:v>20.36</c:v>
                </c:pt>
                <c:pt idx="4">
                  <c:v>20.18</c:v>
                </c:pt>
              </c:numCache>
            </c:numRef>
          </c:val>
        </c:ser>
        <c:ser>
          <c:idx val="1"/>
          <c:order val="1"/>
          <c:tx>
            <c:strRef>
              <c:f>label 1</c:f>
              <c:strCache>
                <c:ptCount val="1"/>
                <c:pt idx="0">
                  <c:v>w wieku produkcyjnym</c:v>
                </c:pt>
              </c:strCache>
            </c:strRef>
          </c:tx>
          <c:spPr>
            <a:solidFill>
              <a:srgbClr val="ED7D31"/>
            </a:solidFill>
            <a:ln>
              <a:noFill/>
            </a:ln>
          </c:spPr>
          <c:invertIfNegative val="0"/>
          <c:dLbls>
            <c:txPr>
              <a:bodyPr/>
              <a:lstStyle/>
              <a:p>
                <a:pPr>
                  <a:defRPr sz="900" b="0" strike="noStrike" spc="-1">
                    <a:solidFill>
                      <a:srgbClr val="404040"/>
                    </a:solidFill>
                    <a:latin typeface="Calibri"/>
                  </a:defRPr>
                </a:pPr>
                <a:endParaRPr lang="pl-PL"/>
              </a:p>
            </c:txPr>
            <c:dLblPos val="ctr"/>
            <c:showLegendKey val="0"/>
            <c:showVal val="1"/>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62.14</c:v>
                </c:pt>
                <c:pt idx="1">
                  <c:v>61.78</c:v>
                </c:pt>
                <c:pt idx="2">
                  <c:v>61.44</c:v>
                </c:pt>
                <c:pt idx="3">
                  <c:v>61.06</c:v>
                </c:pt>
                <c:pt idx="4">
                  <c:v>60.78</c:v>
                </c:pt>
              </c:numCache>
            </c:numRef>
          </c:val>
        </c:ser>
        <c:ser>
          <c:idx val="2"/>
          <c:order val="2"/>
          <c:tx>
            <c:strRef>
              <c:f>label 2</c:f>
              <c:strCache>
                <c:ptCount val="1"/>
                <c:pt idx="0">
                  <c:v>w wieku poprodukcyjnym</c:v>
                </c:pt>
              </c:strCache>
            </c:strRef>
          </c:tx>
          <c:spPr>
            <a:solidFill>
              <a:srgbClr val="A5A5A5"/>
            </a:solidFill>
            <a:ln>
              <a:noFill/>
            </a:ln>
          </c:spPr>
          <c:invertIfNegative val="0"/>
          <c:dLbls>
            <c:txPr>
              <a:bodyPr/>
              <a:lstStyle/>
              <a:p>
                <a:pPr>
                  <a:defRPr sz="900" b="0" strike="noStrike" spc="-1">
                    <a:solidFill>
                      <a:srgbClr val="404040"/>
                    </a:solidFill>
                    <a:latin typeface="Calibri"/>
                  </a:defRPr>
                </a:pPr>
                <a:endParaRPr lang="pl-PL"/>
              </a:p>
            </c:txPr>
            <c:dLblPos val="ctr"/>
            <c:showLegendKey val="0"/>
            <c:showVal val="1"/>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17.66</c:v>
                </c:pt>
                <c:pt idx="1">
                  <c:v>17.940000000000001</c:v>
                </c:pt>
                <c:pt idx="2">
                  <c:v>18.2</c:v>
                </c:pt>
                <c:pt idx="3">
                  <c:v>18.600000000000001</c:v>
                </c:pt>
                <c:pt idx="4">
                  <c:v>19.059999999999999</c:v>
                </c:pt>
              </c:numCache>
            </c:numRef>
          </c:val>
        </c:ser>
        <c:dLbls>
          <c:showLegendKey val="0"/>
          <c:showVal val="0"/>
          <c:showCatName val="0"/>
          <c:showSerName val="0"/>
          <c:showPercent val="0"/>
          <c:showBubbleSize val="0"/>
        </c:dLbls>
        <c:gapWidth val="150"/>
        <c:overlap val="100"/>
        <c:axId val="148086272"/>
        <c:axId val="146881280"/>
      </c:barChart>
      <c:catAx>
        <c:axId val="148086272"/>
        <c:scaling>
          <c:orientation val="minMax"/>
        </c:scaling>
        <c:delete val="0"/>
        <c:axPos val="l"/>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146881280"/>
        <c:crosses val="autoZero"/>
        <c:auto val="1"/>
        <c:lblAlgn val="ctr"/>
        <c:lblOffset val="100"/>
        <c:noMultiLvlLbl val="1"/>
      </c:catAx>
      <c:valAx>
        <c:axId val="146881280"/>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148086272"/>
        <c:crosses val="autoZero"/>
        <c:crossBetween val="between"/>
      </c:valAx>
      <c:spPr>
        <a:noFill/>
        <a:ln>
          <a:noFill/>
        </a:ln>
      </c:spPr>
    </c:plotArea>
    <c:legend>
      <c:legendPos val="b"/>
      <c:overlay val="0"/>
      <c:spPr>
        <a:noFill/>
        <a:ln>
          <a:noFill/>
        </a:ln>
      </c:spPr>
      <c:txPr>
        <a:bodyPr/>
        <a:lstStyle/>
        <a:p>
          <a:pPr>
            <a:defRPr sz="900" b="0" strike="noStrike" spc="-1">
              <a:solidFill>
                <a:srgbClr val="595959"/>
              </a:solidFill>
              <a:latin typeface="Calibri"/>
            </a:defRPr>
          </a:pPr>
          <a:endParaRPr lang="pl-PL"/>
        </a:p>
      </c:txPr>
    </c:legend>
    <c:plotVisOnly val="1"/>
    <c:dispBlanksAs val="gap"/>
    <c:showDLblsOverMax val="1"/>
  </c:chart>
  <c:spPr>
    <a:noFill/>
    <a:ln w="9360">
      <a:noFill/>
    </a:ln>
  </c:spPr>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bar"/>
        <c:grouping val="percentStacked"/>
        <c:varyColors val="0"/>
        <c:ser>
          <c:idx val="0"/>
          <c:order val="0"/>
          <c:tx>
            <c:strRef>
              <c:f>label 0</c:f>
              <c:strCache>
                <c:ptCount val="1"/>
                <c:pt idx="0">
                  <c:v>w wieku przedprodukcyjnym</c:v>
                </c:pt>
              </c:strCache>
            </c:strRef>
          </c:tx>
          <c:spPr>
            <a:solidFill>
              <a:srgbClr val="5B9BD5"/>
            </a:solidFill>
            <a:ln>
              <a:noFill/>
            </a:ln>
          </c:spPr>
          <c:invertIfNegative val="0"/>
          <c:dLbls>
            <c:txPr>
              <a:bodyPr/>
              <a:lstStyle/>
              <a:p>
                <a:pPr>
                  <a:defRPr sz="900" b="0" strike="noStrike" spc="-1">
                    <a:solidFill>
                      <a:srgbClr val="FFFFFF"/>
                    </a:solidFill>
                    <a:latin typeface="Calibri"/>
                  </a:defRPr>
                </a:pPr>
                <a:endParaRPr lang="pl-PL"/>
              </a:p>
            </c:txPr>
            <c:dLblPos val="ctr"/>
            <c:showLegendKey val="0"/>
            <c:showVal val="1"/>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0</c:f>
              <c:numCache>
                <c:formatCode>General</c:formatCode>
                <c:ptCount val="5"/>
                <c:pt idx="0">
                  <c:v>21.3</c:v>
                </c:pt>
                <c:pt idx="1">
                  <c:v>21.3</c:v>
                </c:pt>
                <c:pt idx="2">
                  <c:v>17.8</c:v>
                </c:pt>
                <c:pt idx="3">
                  <c:v>21.6</c:v>
                </c:pt>
                <c:pt idx="4">
                  <c:v>18.899999999999999</c:v>
                </c:pt>
              </c:numCache>
            </c:numRef>
          </c:val>
        </c:ser>
        <c:ser>
          <c:idx val="1"/>
          <c:order val="1"/>
          <c:tx>
            <c:strRef>
              <c:f>label 1</c:f>
              <c:strCache>
                <c:ptCount val="1"/>
                <c:pt idx="0">
                  <c:v>w wieku produkcyjnym</c:v>
                </c:pt>
              </c:strCache>
            </c:strRef>
          </c:tx>
          <c:spPr>
            <a:solidFill>
              <a:srgbClr val="ED7D31"/>
            </a:solidFill>
            <a:ln>
              <a:noFill/>
            </a:ln>
          </c:spPr>
          <c:invertIfNegative val="0"/>
          <c:dLbls>
            <c:txPr>
              <a:bodyPr/>
              <a:lstStyle/>
              <a:p>
                <a:pPr>
                  <a:defRPr sz="900" b="0" strike="noStrike" spc="-1">
                    <a:solidFill>
                      <a:srgbClr val="404040"/>
                    </a:solidFill>
                    <a:latin typeface="Calibri"/>
                  </a:defRPr>
                </a:pPr>
                <a:endParaRPr lang="pl-PL"/>
              </a:p>
            </c:txPr>
            <c:dLblPos val="ctr"/>
            <c:showLegendKey val="0"/>
            <c:showVal val="1"/>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1</c:f>
              <c:numCache>
                <c:formatCode>General</c:formatCode>
                <c:ptCount val="5"/>
                <c:pt idx="0">
                  <c:v>61</c:v>
                </c:pt>
                <c:pt idx="1">
                  <c:v>61.4</c:v>
                </c:pt>
                <c:pt idx="2">
                  <c:v>59.5</c:v>
                </c:pt>
                <c:pt idx="3">
                  <c:v>61.1</c:v>
                </c:pt>
                <c:pt idx="4">
                  <c:v>60.9</c:v>
                </c:pt>
              </c:numCache>
            </c:numRef>
          </c:val>
        </c:ser>
        <c:ser>
          <c:idx val="2"/>
          <c:order val="2"/>
          <c:tx>
            <c:strRef>
              <c:f>label 2</c:f>
              <c:strCache>
                <c:ptCount val="1"/>
                <c:pt idx="0">
                  <c:v>w wieku poprodukcyjnym</c:v>
                </c:pt>
              </c:strCache>
            </c:strRef>
          </c:tx>
          <c:spPr>
            <a:solidFill>
              <a:srgbClr val="A5A5A5"/>
            </a:solidFill>
            <a:ln>
              <a:noFill/>
            </a:ln>
          </c:spPr>
          <c:invertIfNegative val="0"/>
          <c:dLbls>
            <c:txPr>
              <a:bodyPr/>
              <a:lstStyle/>
              <a:p>
                <a:pPr>
                  <a:defRPr sz="900" b="0" strike="noStrike" spc="-1">
                    <a:solidFill>
                      <a:srgbClr val="404040"/>
                    </a:solidFill>
                    <a:latin typeface="Calibri"/>
                  </a:defRPr>
                </a:pPr>
                <a:endParaRPr lang="pl-PL"/>
              </a:p>
            </c:txPr>
            <c:dLblPos val="ctr"/>
            <c:showLegendKey val="0"/>
            <c:showVal val="1"/>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2</c:f>
              <c:numCache>
                <c:formatCode>General</c:formatCode>
                <c:ptCount val="5"/>
                <c:pt idx="0">
                  <c:v>17.7</c:v>
                </c:pt>
                <c:pt idx="1">
                  <c:v>17.399999999999999</c:v>
                </c:pt>
                <c:pt idx="2">
                  <c:v>22.7</c:v>
                </c:pt>
                <c:pt idx="3">
                  <c:v>17.3</c:v>
                </c:pt>
                <c:pt idx="4">
                  <c:v>20.2</c:v>
                </c:pt>
              </c:numCache>
            </c:numRef>
          </c:val>
        </c:ser>
        <c:dLbls>
          <c:showLegendKey val="0"/>
          <c:showVal val="0"/>
          <c:showCatName val="0"/>
          <c:showSerName val="0"/>
          <c:showPercent val="0"/>
          <c:showBubbleSize val="0"/>
        </c:dLbls>
        <c:gapWidth val="150"/>
        <c:overlap val="100"/>
        <c:axId val="204628480"/>
        <c:axId val="204530240"/>
      </c:barChart>
      <c:catAx>
        <c:axId val="204628480"/>
        <c:scaling>
          <c:orientation val="minMax"/>
        </c:scaling>
        <c:delete val="0"/>
        <c:axPos val="l"/>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4530240"/>
        <c:crosses val="autoZero"/>
        <c:auto val="1"/>
        <c:lblAlgn val="ctr"/>
        <c:lblOffset val="100"/>
        <c:noMultiLvlLbl val="1"/>
      </c:catAx>
      <c:valAx>
        <c:axId val="204530240"/>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4628480"/>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w wieku poprodukcyjnym</c:v>
                </c:pt>
              </c:strCache>
            </c:strRef>
          </c:tx>
          <c:spPr>
            <a:ln w="28440">
              <a:solidFill>
                <a:srgbClr val="5B9BD5"/>
              </a:solidFill>
              <a:round/>
            </a:ln>
          </c:spPr>
          <c:marker>
            <c:symbol val="circle"/>
            <c:size val="5"/>
            <c:spPr>
              <a:solidFill>
                <a:srgbClr val="5B9BD5"/>
              </a:solidFill>
            </c:spPr>
          </c:marker>
          <c:dLbls>
            <c:txPr>
              <a:bodyPr/>
              <a:lstStyle/>
              <a:p>
                <a:pPr>
                  <a:defRPr sz="900" b="0" strike="noStrike" spc="-1">
                    <a:solidFill>
                      <a:srgbClr val="404040"/>
                    </a:solidFill>
                    <a:latin typeface="Calibri"/>
                  </a:defRPr>
                </a:pPr>
                <a:endParaRPr lang="pl-PL"/>
              </a:p>
            </c:txPr>
            <c:dLblPos val="t"/>
            <c:showLegendKey val="0"/>
            <c:showVal val="1"/>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17.66</c:v>
                </c:pt>
                <c:pt idx="1">
                  <c:v>17.940000000000001</c:v>
                </c:pt>
                <c:pt idx="2">
                  <c:v>18.2</c:v>
                </c:pt>
                <c:pt idx="3">
                  <c:v>18.600000000000001</c:v>
                </c:pt>
                <c:pt idx="4">
                  <c:v>19.059999999999999</c:v>
                </c:pt>
              </c:numCache>
            </c:numRef>
          </c:val>
          <c:smooth val="0"/>
        </c:ser>
        <c:dLbls>
          <c:showLegendKey val="0"/>
          <c:showVal val="0"/>
          <c:showCatName val="0"/>
          <c:showSerName val="0"/>
          <c:showPercent val="0"/>
          <c:showBubbleSize val="0"/>
        </c:dLbls>
        <c:hiLowLines>
          <c:spPr>
            <a:ln>
              <a:noFill/>
            </a:ln>
          </c:spPr>
        </c:hiLowLines>
        <c:marker val="1"/>
        <c:smooth val="0"/>
        <c:axId val="204629504"/>
        <c:axId val="204531968"/>
      </c:lineChart>
      <c:catAx>
        <c:axId val="204629504"/>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4531968"/>
        <c:crosses val="autoZero"/>
        <c:auto val="1"/>
        <c:lblAlgn val="ctr"/>
        <c:lblOffset val="100"/>
        <c:noMultiLvlLbl val="1"/>
      </c:catAx>
      <c:valAx>
        <c:axId val="204531968"/>
        <c:scaling>
          <c:orientation val="minMax"/>
        </c:scaling>
        <c:delete val="1"/>
        <c:axPos val="l"/>
        <c:numFmt formatCode="General" sourceLinked="0"/>
        <c:majorTickMark val="none"/>
        <c:minorTickMark val="none"/>
        <c:tickLblPos val="nextTo"/>
        <c:crossAx val="204629504"/>
        <c:crosses val="autoZero"/>
        <c:crossBetween val="midCat"/>
      </c:valAx>
      <c:spPr>
        <a:noFill/>
        <a:ln>
          <a:noFill/>
        </a:ln>
      </c:spPr>
    </c:plotArea>
    <c:plotVisOnly val="1"/>
    <c:dispBlanksAs val="gap"/>
    <c:showDLblsOverMax val="1"/>
  </c:chart>
  <c:spPr>
    <a:noFill/>
    <a:ln w="9360">
      <a:noFill/>
    </a:ln>
  </c:spPr>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Cyców</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16.2</c:v>
                </c:pt>
                <c:pt idx="1">
                  <c:v>16.399999999999999</c:v>
                </c:pt>
                <c:pt idx="2">
                  <c:v>16.5</c:v>
                </c:pt>
                <c:pt idx="3">
                  <c:v>16.899999999999999</c:v>
                </c:pt>
                <c:pt idx="4">
                  <c:v>17.7</c:v>
                </c:pt>
              </c:numCache>
            </c:numRef>
          </c:val>
        </c:ser>
        <c:ser>
          <c:idx val="1"/>
          <c:order val="1"/>
          <c:tx>
            <c:strRef>
              <c:f>label 1</c:f>
              <c:strCache>
                <c:ptCount val="1"/>
                <c:pt idx="0">
                  <c:v>Ludwin</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16.100000000000001</c:v>
                </c:pt>
                <c:pt idx="1">
                  <c:v>16.2</c:v>
                </c:pt>
                <c:pt idx="2">
                  <c:v>16.5</c:v>
                </c:pt>
                <c:pt idx="3">
                  <c:v>17.100000000000001</c:v>
                </c:pt>
                <c:pt idx="4">
                  <c:v>17.399999999999999</c:v>
                </c:pt>
              </c:numCache>
            </c:numRef>
          </c:val>
        </c:ser>
        <c:ser>
          <c:idx val="2"/>
          <c:order val="2"/>
          <c:tx>
            <c:strRef>
              <c:f>label 2</c:f>
              <c:strCache>
                <c:ptCount val="1"/>
                <c:pt idx="0">
                  <c:v>Milejów</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20</c:v>
                </c:pt>
                <c:pt idx="1">
                  <c:v>20.6</c:v>
                </c:pt>
                <c:pt idx="2">
                  <c:v>21.2</c:v>
                </c:pt>
                <c:pt idx="3">
                  <c:v>22</c:v>
                </c:pt>
                <c:pt idx="4">
                  <c:v>22.7</c:v>
                </c:pt>
              </c:numCache>
            </c:numRef>
          </c:val>
        </c:ser>
        <c:ser>
          <c:idx val="3"/>
          <c:order val="3"/>
          <c:tx>
            <c:strRef>
              <c:f>label 3</c:f>
              <c:strCache>
                <c:ptCount val="1"/>
                <c:pt idx="0">
                  <c:v>Puchaczów</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3</c:f>
              <c:numCache>
                <c:formatCode>General</c:formatCode>
                <c:ptCount val="5"/>
                <c:pt idx="0">
                  <c:v>16.5</c:v>
                </c:pt>
                <c:pt idx="1">
                  <c:v>16.8</c:v>
                </c:pt>
                <c:pt idx="2">
                  <c:v>16.8</c:v>
                </c:pt>
                <c:pt idx="3">
                  <c:v>17</c:v>
                </c:pt>
                <c:pt idx="4">
                  <c:v>17.3</c:v>
                </c:pt>
              </c:numCache>
            </c:numRef>
          </c:val>
        </c:ser>
        <c:ser>
          <c:idx val="4"/>
          <c:order val="4"/>
          <c:tx>
            <c:strRef>
              <c:f>label 4</c:f>
              <c:strCache>
                <c:ptCount val="1"/>
                <c:pt idx="0">
                  <c:v>Urszulin</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4</c:f>
              <c:numCache>
                <c:formatCode>General</c:formatCode>
                <c:ptCount val="5"/>
                <c:pt idx="0">
                  <c:v>19.5</c:v>
                </c:pt>
                <c:pt idx="1">
                  <c:v>19.7</c:v>
                </c:pt>
                <c:pt idx="2">
                  <c:v>20</c:v>
                </c:pt>
                <c:pt idx="3">
                  <c:v>20</c:v>
                </c:pt>
                <c:pt idx="4">
                  <c:v>20.2</c:v>
                </c:pt>
              </c:numCache>
            </c:numRef>
          </c:val>
        </c:ser>
        <c:dLbls>
          <c:showLegendKey val="0"/>
          <c:showVal val="0"/>
          <c:showCatName val="0"/>
          <c:showSerName val="0"/>
          <c:showPercent val="0"/>
          <c:showBubbleSize val="0"/>
        </c:dLbls>
        <c:gapWidth val="219"/>
        <c:overlap val="-27"/>
        <c:axId val="204630528"/>
        <c:axId val="204533696"/>
      </c:barChart>
      <c:catAx>
        <c:axId val="20463052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4533696"/>
        <c:crosses val="autoZero"/>
        <c:auto val="1"/>
        <c:lblAlgn val="ctr"/>
        <c:lblOffset val="100"/>
        <c:noMultiLvlLbl val="1"/>
      </c:catAx>
      <c:valAx>
        <c:axId val="204533696"/>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4630528"/>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Seria bez nazwy 1</c:v>
                </c:pt>
              </c:strCache>
            </c:strRef>
          </c:tx>
          <c:spPr>
            <a:ln w="28440">
              <a:solidFill>
                <a:srgbClr val="5B9BD5"/>
              </a:solidFill>
              <a:round/>
            </a:ln>
          </c:spPr>
          <c:marker>
            <c:symbol val="circle"/>
            <c:size val="5"/>
            <c:spPr>
              <a:solidFill>
                <a:srgbClr val="5B9BD5"/>
              </a:solidFill>
            </c:spPr>
          </c:marker>
          <c:dLbls>
            <c:txPr>
              <a:bodyPr/>
              <a:lstStyle/>
              <a:p>
                <a:pPr>
                  <a:defRPr sz="900" b="0" strike="noStrike" spc="-1">
                    <a:solidFill>
                      <a:srgbClr val="404040"/>
                    </a:solidFill>
                    <a:latin typeface="Calibri"/>
                  </a:defRPr>
                </a:pPr>
                <a:endParaRPr lang="pl-PL"/>
              </a:p>
            </c:txPr>
            <c:dLblPos val="t"/>
            <c:showLegendKey val="0"/>
            <c:showVal val="1"/>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28.42</c:v>
                </c:pt>
                <c:pt idx="1">
                  <c:v>29.04</c:v>
                </c:pt>
                <c:pt idx="2">
                  <c:v>29.66</c:v>
                </c:pt>
                <c:pt idx="3">
                  <c:v>30.5</c:v>
                </c:pt>
                <c:pt idx="4">
                  <c:v>31.4</c:v>
                </c:pt>
              </c:numCache>
            </c:numRef>
          </c:val>
          <c:smooth val="0"/>
        </c:ser>
        <c:dLbls>
          <c:showLegendKey val="0"/>
          <c:showVal val="0"/>
          <c:showCatName val="0"/>
          <c:showSerName val="0"/>
          <c:showPercent val="0"/>
          <c:showBubbleSize val="0"/>
        </c:dLbls>
        <c:hiLowLines>
          <c:spPr>
            <a:ln>
              <a:noFill/>
            </a:ln>
          </c:spPr>
        </c:hiLowLines>
        <c:marker val="1"/>
        <c:smooth val="0"/>
        <c:axId val="204631552"/>
        <c:axId val="204535424"/>
      </c:lineChart>
      <c:catAx>
        <c:axId val="204631552"/>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4535424"/>
        <c:crosses val="autoZero"/>
        <c:auto val="1"/>
        <c:lblAlgn val="ctr"/>
        <c:lblOffset val="100"/>
        <c:noMultiLvlLbl val="1"/>
      </c:catAx>
      <c:valAx>
        <c:axId val="204535424"/>
        <c:scaling>
          <c:orientation val="minMax"/>
        </c:scaling>
        <c:delete val="1"/>
        <c:axPos val="l"/>
        <c:numFmt formatCode="##,#0\.0" sourceLinked="0"/>
        <c:majorTickMark val="none"/>
        <c:minorTickMark val="none"/>
        <c:tickLblPos val="nextTo"/>
        <c:crossAx val="204631552"/>
        <c:crosses val="autoZero"/>
        <c:crossBetween val="midCat"/>
      </c:valAx>
      <c:spPr>
        <a:noFill/>
        <a:ln>
          <a:noFill/>
        </a:ln>
      </c:spPr>
    </c:plotArea>
    <c:plotVisOnly val="1"/>
    <c:dispBlanksAs val="gap"/>
    <c:showDLblsOverMax val="1"/>
  </c:chart>
  <c:spPr>
    <a:noFill/>
    <a:ln w="9360">
      <a:noFill/>
    </a:ln>
  </c:spPr>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 </c:v>
                </c:pt>
                <c:pt idx="4">
                  <c:v>Urszulin </c:v>
                </c:pt>
              </c:strCache>
            </c:strRef>
          </c:cat>
          <c:val>
            <c:numRef>
              <c:f>0</c:f>
              <c:numCache>
                <c:formatCode>General</c:formatCode>
                <c:ptCount val="5"/>
                <c:pt idx="0">
                  <c:v>26.1</c:v>
                </c:pt>
                <c:pt idx="1">
                  <c:v>25.6</c:v>
                </c:pt>
                <c:pt idx="2">
                  <c:v>32.299999999999997</c:v>
                </c:pt>
                <c:pt idx="3">
                  <c:v>26.6</c:v>
                </c:pt>
                <c:pt idx="4">
                  <c:v>31.5</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 </c:v>
                </c:pt>
                <c:pt idx="4">
                  <c:v>Urszulin </c:v>
                </c:pt>
              </c:strCache>
            </c:strRef>
          </c:cat>
          <c:val>
            <c:numRef>
              <c:f>1</c:f>
              <c:numCache>
                <c:formatCode>General</c:formatCode>
                <c:ptCount val="5"/>
                <c:pt idx="0">
                  <c:v>26.6</c:v>
                </c:pt>
                <c:pt idx="1">
                  <c:v>25.9</c:v>
                </c:pt>
                <c:pt idx="2">
                  <c:v>33.5</c:v>
                </c:pt>
                <c:pt idx="3">
                  <c:v>27.1</c:v>
                </c:pt>
                <c:pt idx="4">
                  <c:v>32.1</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 </c:v>
                </c:pt>
                <c:pt idx="4">
                  <c:v>Urszulin </c:v>
                </c:pt>
              </c:strCache>
            </c:strRef>
          </c:cat>
          <c:val>
            <c:numRef>
              <c:f>2</c:f>
              <c:numCache>
                <c:formatCode>General</c:formatCode>
                <c:ptCount val="5"/>
                <c:pt idx="0">
                  <c:v>26.8</c:v>
                </c:pt>
                <c:pt idx="1">
                  <c:v>26.8</c:v>
                </c:pt>
                <c:pt idx="2">
                  <c:v>34.9</c:v>
                </c:pt>
                <c:pt idx="3">
                  <c:v>27.3</c:v>
                </c:pt>
                <c:pt idx="4">
                  <c:v>32.5</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 </c:v>
                </c:pt>
                <c:pt idx="4">
                  <c:v>Urszulin </c:v>
                </c:pt>
              </c:strCache>
            </c:strRef>
          </c:cat>
          <c:val>
            <c:numRef>
              <c:f>3</c:f>
              <c:numCache>
                <c:formatCode>General</c:formatCode>
                <c:ptCount val="5"/>
                <c:pt idx="0">
                  <c:v>27.6</c:v>
                </c:pt>
                <c:pt idx="1">
                  <c:v>27.7</c:v>
                </c:pt>
                <c:pt idx="2">
                  <c:v>36.700000000000003</c:v>
                </c:pt>
                <c:pt idx="3">
                  <c:v>27.7</c:v>
                </c:pt>
                <c:pt idx="4">
                  <c:v>32.799999999999997</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 </c:v>
                </c:pt>
                <c:pt idx="4">
                  <c:v>Urszulin </c:v>
                </c:pt>
              </c:strCache>
            </c:strRef>
          </c:cat>
          <c:val>
            <c:numRef>
              <c:f>4</c:f>
              <c:numCache>
                <c:formatCode>General</c:formatCode>
                <c:ptCount val="5"/>
                <c:pt idx="0">
                  <c:v>29</c:v>
                </c:pt>
                <c:pt idx="1">
                  <c:v>28.3</c:v>
                </c:pt>
                <c:pt idx="2">
                  <c:v>38.1</c:v>
                </c:pt>
                <c:pt idx="3">
                  <c:v>28.4</c:v>
                </c:pt>
                <c:pt idx="4">
                  <c:v>33.200000000000003</c:v>
                </c:pt>
              </c:numCache>
            </c:numRef>
          </c:val>
        </c:ser>
        <c:dLbls>
          <c:showLegendKey val="0"/>
          <c:showVal val="0"/>
          <c:showCatName val="0"/>
          <c:showSerName val="0"/>
          <c:showPercent val="0"/>
          <c:showBubbleSize val="0"/>
        </c:dLbls>
        <c:gapWidth val="219"/>
        <c:axId val="204689920"/>
        <c:axId val="204537152"/>
      </c:barChart>
      <c:catAx>
        <c:axId val="20468992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4537152"/>
        <c:crosses val="autoZero"/>
        <c:auto val="1"/>
        <c:lblAlgn val="ctr"/>
        <c:lblOffset val="100"/>
        <c:noMultiLvlLbl val="1"/>
      </c:catAx>
      <c:valAx>
        <c:axId val="204537152"/>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4689920"/>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Seria bez nazwy 1</c:v>
                </c:pt>
              </c:strCache>
            </c:strRef>
          </c:tx>
          <c:spPr>
            <a:solidFill>
              <a:srgbClr val="5B9BD5"/>
            </a:solidFill>
            <a:ln>
              <a:noFill/>
            </a:ln>
          </c:spPr>
          <c:invertIfNegative val="0"/>
          <c:dLbls>
            <c:txPr>
              <a:bodyPr/>
              <a:lstStyle/>
              <a:p>
                <a:pPr>
                  <a:defRPr sz="900" b="0" strike="noStrike" spc="-1">
                    <a:solidFill>
                      <a:srgbClr val="404040"/>
                    </a:solidFill>
                    <a:latin typeface="Calibri"/>
                  </a:defRPr>
                </a:pPr>
                <a:endParaRPr lang="pl-PL"/>
              </a:p>
            </c:txPr>
            <c:dLblPos val="outEnd"/>
            <c:showLegendKey val="0"/>
            <c:showVal val="1"/>
            <c:showCatName val="0"/>
            <c:showSerName val="0"/>
            <c:showPercent val="0"/>
            <c:showBubbleSize val="1"/>
            <c:separator>; </c:separator>
            <c:showLeaderLines val="0"/>
          </c:dLbls>
          <c:cat>
            <c:strRef>
              <c:f>categories</c:f>
              <c:strCache>
                <c:ptCount val="4"/>
                <c:pt idx="0">
                  <c:v>2016</c:v>
                </c:pt>
                <c:pt idx="1">
                  <c:v>2017</c:v>
                </c:pt>
                <c:pt idx="2">
                  <c:v>2018</c:v>
                </c:pt>
                <c:pt idx="3">
                  <c:v>2019</c:v>
                </c:pt>
              </c:strCache>
            </c:strRef>
          </c:cat>
          <c:val>
            <c:numRef>
              <c:f>0</c:f>
              <c:numCache>
                <c:formatCode>General</c:formatCode>
                <c:ptCount val="4"/>
                <c:pt idx="0">
                  <c:v>40</c:v>
                </c:pt>
                <c:pt idx="1">
                  <c:v>28</c:v>
                </c:pt>
                <c:pt idx="2">
                  <c:v>71</c:v>
                </c:pt>
                <c:pt idx="3">
                  <c:v>-25</c:v>
                </c:pt>
              </c:numCache>
            </c:numRef>
          </c:val>
        </c:ser>
        <c:dLbls>
          <c:showLegendKey val="0"/>
          <c:showVal val="0"/>
          <c:showCatName val="0"/>
          <c:showSerName val="0"/>
          <c:showPercent val="0"/>
          <c:showBubbleSize val="0"/>
        </c:dLbls>
        <c:gapWidth val="219"/>
        <c:axId val="204690944"/>
        <c:axId val="205202560"/>
      </c:barChart>
      <c:catAx>
        <c:axId val="204690944"/>
        <c:scaling>
          <c:orientation val="minMax"/>
        </c:scaling>
        <c:delete val="0"/>
        <c:axPos val="b"/>
        <c:numFmt formatCode="[$-415]d\/mm\/\Y\Y\Y\Y" sourceLinked="1"/>
        <c:majorTickMark val="none"/>
        <c:minorTickMark val="none"/>
        <c:tickLblPos val="low"/>
        <c:spPr>
          <a:ln w="9360">
            <a:solidFill>
              <a:srgbClr val="D9D9D9"/>
            </a:solidFill>
            <a:round/>
          </a:ln>
        </c:spPr>
        <c:txPr>
          <a:bodyPr/>
          <a:lstStyle/>
          <a:p>
            <a:pPr>
              <a:defRPr sz="900" b="0" strike="noStrike" spc="-1">
                <a:solidFill>
                  <a:srgbClr val="595959"/>
                </a:solidFill>
                <a:latin typeface="Calibri"/>
              </a:defRPr>
            </a:pPr>
            <a:endParaRPr lang="pl-PL"/>
          </a:p>
        </c:txPr>
        <c:crossAx val="205202560"/>
        <c:crosses val="autoZero"/>
        <c:auto val="1"/>
        <c:lblAlgn val="ctr"/>
        <c:lblOffset val="100"/>
        <c:noMultiLvlLbl val="1"/>
      </c:catAx>
      <c:valAx>
        <c:axId val="205202560"/>
        <c:scaling>
          <c:orientation val="minMax"/>
        </c:scaling>
        <c:delete val="1"/>
        <c:axPos val="l"/>
        <c:numFmt formatCode="#,##0" sourceLinked="0"/>
        <c:majorTickMark val="none"/>
        <c:minorTickMark val="none"/>
        <c:tickLblPos val="nextTo"/>
        <c:crossAx val="204690944"/>
        <c:crosses val="autoZero"/>
        <c:crossBetween val="between"/>
      </c:valAx>
      <c:spPr>
        <a:noFill/>
        <a:ln>
          <a:noFill/>
        </a:ln>
      </c:spPr>
    </c:plotArea>
    <c:plotVisOnly val="1"/>
    <c:dispBlanksAs val="gap"/>
    <c:showDLblsOverMax val="1"/>
  </c:chart>
  <c:spPr>
    <a:no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title>
      <c:tx>
        <c:rich>
          <a:bodyPr rot="0"/>
          <a:lstStyle/>
          <a:p>
            <a:pPr>
              <a:defRPr sz="1400" b="0" strike="noStrike" spc="-1">
                <a:solidFill>
                  <a:srgbClr val="595959"/>
                </a:solidFill>
                <a:latin typeface="Calibri"/>
              </a:defRPr>
            </a:pPr>
            <a:r>
              <a:rPr lang="pl-PL" sz="1400" b="0" strike="noStrike" spc="-1">
                <a:solidFill>
                  <a:srgbClr val="595959"/>
                </a:solidFill>
                <a:latin typeface="Calibri"/>
              </a:rPr>
              <a:t>Środki z Unii Europejskiej pozyskane przez gminy obszaru Zielone Zagłębie w perspektywie finansowej 2014-2020</a:t>
            </a:r>
          </a:p>
        </c:rich>
      </c:tx>
      <c:overlay val="0"/>
      <c:spPr>
        <a:noFill/>
        <a:ln>
          <a:noFill/>
        </a:ln>
      </c:spPr>
    </c:title>
    <c:autoTitleDeleted val="0"/>
    <c:plotArea>
      <c:layout/>
      <c:pieChart>
        <c:varyColors val="1"/>
        <c:ser>
          <c:idx val="0"/>
          <c:order val="0"/>
          <c:tx>
            <c:strRef>
              <c:f>label 0</c:f>
              <c:strCache>
                <c:ptCount val="1"/>
                <c:pt idx="0">
                  <c:v>Seria bez nazwy 1</c:v>
                </c:pt>
              </c:strCache>
            </c:strRef>
          </c:tx>
          <c:spPr>
            <a:solidFill>
              <a:srgbClr val="5B9BD5"/>
            </a:solidFill>
            <a:ln>
              <a:noFill/>
            </a:ln>
          </c:spPr>
          <c:dPt>
            <c:idx val="0"/>
            <c:bubble3D val="0"/>
            <c:spPr>
              <a:solidFill>
                <a:srgbClr val="4575A1"/>
              </a:solidFill>
              <a:ln w="19080">
                <a:solidFill>
                  <a:srgbClr val="FFFFFF"/>
                </a:solidFill>
                <a:round/>
              </a:ln>
            </c:spPr>
          </c:dPt>
          <c:dPt>
            <c:idx val="1"/>
            <c:bubble3D val="0"/>
            <c:spPr>
              <a:solidFill>
                <a:srgbClr val="5089BD"/>
              </a:solidFill>
              <a:ln w="19080">
                <a:solidFill>
                  <a:srgbClr val="FFFFFF"/>
                </a:solidFill>
                <a:round/>
              </a:ln>
            </c:spPr>
          </c:dPt>
          <c:dPt>
            <c:idx val="2"/>
            <c:bubble3D val="0"/>
            <c:spPr>
              <a:solidFill>
                <a:srgbClr val="5B9BD5"/>
              </a:solidFill>
              <a:ln w="19080">
                <a:solidFill>
                  <a:srgbClr val="FFFFFF"/>
                </a:solidFill>
                <a:round/>
              </a:ln>
            </c:spPr>
          </c:dPt>
          <c:dPt>
            <c:idx val="3"/>
            <c:bubble3D val="0"/>
            <c:spPr>
              <a:solidFill>
                <a:srgbClr val="97B8DF"/>
              </a:solidFill>
              <a:ln w="19080">
                <a:solidFill>
                  <a:srgbClr val="FFFFFF"/>
                </a:solidFill>
                <a:round/>
              </a:ln>
            </c:spPr>
          </c:dPt>
          <c:dPt>
            <c:idx val="4"/>
            <c:bubble3D val="0"/>
            <c:spPr>
              <a:solidFill>
                <a:srgbClr val="BED0E9"/>
              </a:solidFill>
              <a:ln w="19080">
                <a:solidFill>
                  <a:srgbClr val="FFFFFF"/>
                </a:solidFill>
                <a:round/>
              </a:ln>
            </c:spPr>
          </c:dPt>
          <c:dLbls>
            <c:txPr>
              <a:bodyPr/>
              <a:lstStyle/>
              <a:p>
                <a:pPr>
                  <a:defRPr sz="900" b="0" strike="noStrike" spc="-1">
                    <a:solidFill>
                      <a:srgbClr val="404040"/>
                    </a:solidFill>
                    <a:latin typeface="Calibri"/>
                  </a:defRPr>
                </a:pPr>
                <a:endParaRPr lang="pl-PL"/>
              </a:p>
            </c:txPr>
            <c:dLblPos val="outEnd"/>
            <c:showLegendKey val="0"/>
            <c:showVal val="1"/>
            <c:showCatName val="1"/>
            <c:showSerName val="0"/>
            <c:showPercent val="0"/>
            <c:showBubbleSize val="1"/>
            <c:separator>; </c:separator>
            <c:showLeaderLines val="0"/>
          </c:dLbls>
          <c:cat>
            <c:strRef>
              <c:f>categories</c:f>
              <c:strCache>
                <c:ptCount val="5"/>
                <c:pt idx="0">
                  <c:v>Cyców</c:v>
                </c:pt>
                <c:pt idx="1">
                  <c:v>Ludwin</c:v>
                </c:pt>
                <c:pt idx="2">
                  <c:v>Puchaczów</c:v>
                </c:pt>
                <c:pt idx="3">
                  <c:v>Milejów</c:v>
                </c:pt>
                <c:pt idx="4">
                  <c:v>Urszulin</c:v>
                </c:pt>
              </c:strCache>
            </c:strRef>
          </c:cat>
          <c:val>
            <c:numRef>
              <c:f>0</c:f>
              <c:numCache>
                <c:formatCode>General</c:formatCode>
                <c:ptCount val="5"/>
                <c:pt idx="0">
                  <c:v>10633457.1</c:v>
                </c:pt>
                <c:pt idx="1">
                  <c:v>4505683.2699999996</c:v>
                </c:pt>
                <c:pt idx="2">
                  <c:v>7052207.3200000003</c:v>
                </c:pt>
                <c:pt idx="3">
                  <c:v>34605586.719999999</c:v>
                </c:pt>
                <c:pt idx="4">
                  <c:v>24231839.98</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1"/>
  </c:chart>
  <c:spPr>
    <a:solidFill>
      <a:srgbClr val="FFFFFF"/>
    </a:solidFill>
    <a:ln w="9360">
      <a:solidFill>
        <a:srgbClr val="D9D9D9"/>
      </a:solidFill>
      <a:round/>
    </a:ln>
  </c:spPr>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manualLayout>
          <c:layoutTarget val="inner"/>
          <c:xMode val="edge"/>
          <c:yMode val="edge"/>
          <c:x val="6.6187499999999996E-2"/>
          <c:y val="0.101888888888889"/>
          <c:w val="0.91049999999999998"/>
          <c:h val="0.79222222222222205"/>
        </c:manualLayout>
      </c:layout>
      <c:barChart>
        <c:barDir val="col"/>
        <c:grouping val="clustered"/>
        <c:varyColors val="0"/>
        <c:ser>
          <c:idx val="0"/>
          <c:order val="0"/>
          <c:tx>
            <c:strRef>
              <c:f>label 0</c:f>
              <c:strCache>
                <c:ptCount val="1"/>
                <c:pt idx="0">
                  <c:v>2016</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0</c:f>
              <c:numCache>
                <c:formatCode>General</c:formatCode>
                <c:ptCount val="5"/>
                <c:pt idx="0">
                  <c:v>-14</c:v>
                </c:pt>
                <c:pt idx="1">
                  <c:v>46</c:v>
                </c:pt>
                <c:pt idx="2">
                  <c:v>-25</c:v>
                </c:pt>
                <c:pt idx="3">
                  <c:v>20</c:v>
                </c:pt>
                <c:pt idx="4">
                  <c:v>13</c:v>
                </c:pt>
              </c:numCache>
            </c:numRef>
          </c:val>
        </c:ser>
        <c:ser>
          <c:idx val="1"/>
          <c:order val="1"/>
          <c:tx>
            <c:strRef>
              <c:f>label 1</c:f>
              <c:strCache>
                <c:ptCount val="1"/>
                <c:pt idx="0">
                  <c:v>2017</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1</c:f>
              <c:numCache>
                <c:formatCode>General</c:formatCode>
                <c:ptCount val="5"/>
                <c:pt idx="0">
                  <c:v>-41</c:v>
                </c:pt>
                <c:pt idx="1">
                  <c:v>46</c:v>
                </c:pt>
                <c:pt idx="2">
                  <c:v>-21</c:v>
                </c:pt>
                <c:pt idx="3">
                  <c:v>45</c:v>
                </c:pt>
                <c:pt idx="4">
                  <c:v>-1</c:v>
                </c:pt>
              </c:numCache>
            </c:numRef>
          </c:val>
        </c:ser>
        <c:ser>
          <c:idx val="2"/>
          <c:order val="2"/>
          <c:tx>
            <c:strRef>
              <c:f>label 2</c:f>
              <c:strCache>
                <c:ptCount val="1"/>
                <c:pt idx="0">
                  <c:v>2018</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2</c:f>
              <c:numCache>
                <c:formatCode>General</c:formatCode>
                <c:ptCount val="5"/>
                <c:pt idx="0">
                  <c:v>20</c:v>
                </c:pt>
                <c:pt idx="1">
                  <c:v>12</c:v>
                </c:pt>
                <c:pt idx="2">
                  <c:v>-9</c:v>
                </c:pt>
                <c:pt idx="3">
                  <c:v>27</c:v>
                </c:pt>
                <c:pt idx="4">
                  <c:v>21</c:v>
                </c:pt>
              </c:numCache>
            </c:numRef>
          </c:val>
        </c:ser>
        <c:ser>
          <c:idx val="3"/>
          <c:order val="3"/>
          <c:tx>
            <c:strRef>
              <c:f>label 3</c:f>
              <c:strCache>
                <c:ptCount val="1"/>
                <c:pt idx="0">
                  <c:v>2019</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3</c:f>
              <c:numCache>
                <c:formatCode>General</c:formatCode>
                <c:ptCount val="5"/>
                <c:pt idx="0">
                  <c:v>-34</c:v>
                </c:pt>
                <c:pt idx="1">
                  <c:v>27</c:v>
                </c:pt>
                <c:pt idx="2">
                  <c:v>-20</c:v>
                </c:pt>
                <c:pt idx="3">
                  <c:v>12</c:v>
                </c:pt>
                <c:pt idx="4">
                  <c:v>-10</c:v>
                </c:pt>
              </c:numCache>
            </c:numRef>
          </c:val>
        </c:ser>
        <c:dLbls>
          <c:showLegendKey val="0"/>
          <c:showVal val="0"/>
          <c:showCatName val="0"/>
          <c:showSerName val="0"/>
          <c:showPercent val="0"/>
          <c:showBubbleSize val="0"/>
        </c:dLbls>
        <c:gapWidth val="219"/>
        <c:overlap val="-27"/>
        <c:axId val="204691456"/>
        <c:axId val="205204288"/>
      </c:barChart>
      <c:catAx>
        <c:axId val="204691456"/>
        <c:scaling>
          <c:orientation val="minMax"/>
        </c:scaling>
        <c:delete val="0"/>
        <c:axPos val="b"/>
        <c:numFmt formatCode="[$-415]d\/mm\/\Y\Y\Y\Y" sourceLinked="1"/>
        <c:majorTickMark val="none"/>
        <c:minorTickMark val="none"/>
        <c:tickLblPos val="low"/>
        <c:spPr>
          <a:ln w="9360">
            <a:solidFill>
              <a:srgbClr val="D9D9D9"/>
            </a:solidFill>
            <a:round/>
          </a:ln>
        </c:spPr>
        <c:txPr>
          <a:bodyPr/>
          <a:lstStyle/>
          <a:p>
            <a:pPr>
              <a:defRPr sz="900" b="0" strike="noStrike" spc="-1">
                <a:solidFill>
                  <a:srgbClr val="595959"/>
                </a:solidFill>
                <a:latin typeface="Calibri"/>
              </a:defRPr>
            </a:pPr>
            <a:endParaRPr lang="pl-PL"/>
          </a:p>
        </c:txPr>
        <c:crossAx val="205204288"/>
        <c:crosses val="autoZero"/>
        <c:auto val="1"/>
        <c:lblAlgn val="ctr"/>
        <c:lblOffset val="100"/>
        <c:noMultiLvlLbl val="1"/>
      </c:catAx>
      <c:valAx>
        <c:axId val="20520428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4691456"/>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mężczyźni</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7587</c:v>
                </c:pt>
                <c:pt idx="1">
                  <c:v>7032</c:v>
                </c:pt>
                <c:pt idx="2">
                  <c:v>7053</c:v>
                </c:pt>
                <c:pt idx="3">
                  <c:v>7053</c:v>
                </c:pt>
                <c:pt idx="4">
                  <c:v>7296</c:v>
                </c:pt>
              </c:numCache>
            </c:numRef>
          </c:val>
        </c:ser>
        <c:ser>
          <c:idx val="1"/>
          <c:order val="1"/>
          <c:tx>
            <c:strRef>
              <c:f>label 1</c:f>
              <c:strCache>
                <c:ptCount val="1"/>
                <c:pt idx="0">
                  <c:v>kobiety</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2036</c:v>
                </c:pt>
                <c:pt idx="1">
                  <c:v>2013</c:v>
                </c:pt>
                <c:pt idx="2">
                  <c:v>2153</c:v>
                </c:pt>
                <c:pt idx="3">
                  <c:v>2141</c:v>
                </c:pt>
                <c:pt idx="4">
                  <c:v>2142</c:v>
                </c:pt>
              </c:numCache>
            </c:numRef>
          </c:val>
        </c:ser>
        <c:dLbls>
          <c:showLegendKey val="0"/>
          <c:showVal val="0"/>
          <c:showCatName val="0"/>
          <c:showSerName val="0"/>
          <c:showPercent val="0"/>
          <c:showBubbleSize val="0"/>
        </c:dLbls>
        <c:gapWidth val="219"/>
        <c:overlap val="-27"/>
        <c:axId val="204692992"/>
        <c:axId val="205206016"/>
      </c:barChart>
      <c:lineChart>
        <c:grouping val="standard"/>
        <c:varyColors val="0"/>
        <c:ser>
          <c:idx val="2"/>
          <c:order val="2"/>
          <c:tx>
            <c:strRef>
              <c:f>label 2</c:f>
              <c:strCache>
                <c:ptCount val="1"/>
                <c:pt idx="0">
                  <c:v>ogółem</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9623</c:v>
                </c:pt>
                <c:pt idx="1">
                  <c:v>9045</c:v>
                </c:pt>
                <c:pt idx="2">
                  <c:v>9206</c:v>
                </c:pt>
                <c:pt idx="3">
                  <c:v>9194</c:v>
                </c:pt>
                <c:pt idx="4">
                  <c:v>9438</c:v>
                </c:pt>
              </c:numCache>
            </c:numRef>
          </c:val>
          <c:smooth val="0"/>
        </c:ser>
        <c:dLbls>
          <c:showLegendKey val="0"/>
          <c:showVal val="0"/>
          <c:showCatName val="0"/>
          <c:showSerName val="0"/>
          <c:showPercent val="0"/>
          <c:showBubbleSize val="0"/>
        </c:dLbls>
        <c:hiLowLines>
          <c:spPr>
            <a:ln>
              <a:noFill/>
            </a:ln>
          </c:spPr>
        </c:hiLowLines>
        <c:marker val="1"/>
        <c:smooth val="0"/>
        <c:axId val="204692992"/>
        <c:axId val="205206016"/>
      </c:lineChart>
      <c:catAx>
        <c:axId val="204692992"/>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206016"/>
        <c:crosses val="autoZero"/>
        <c:auto val="1"/>
        <c:lblAlgn val="ctr"/>
        <c:lblOffset val="100"/>
        <c:noMultiLvlLbl val="1"/>
      </c:catAx>
      <c:valAx>
        <c:axId val="20520601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4692992"/>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Puchaczów</c:v>
                </c:pt>
                <c:pt idx="1">
                  <c:v>Milejów</c:v>
                </c:pt>
                <c:pt idx="2">
                  <c:v>Cyców</c:v>
                </c:pt>
                <c:pt idx="3">
                  <c:v>Ludwin</c:v>
                </c:pt>
                <c:pt idx="4">
                  <c:v>Urszulin</c:v>
                </c:pt>
              </c:strCache>
            </c:strRef>
          </c:cat>
          <c:val>
            <c:numRef>
              <c:f>0</c:f>
              <c:numCache>
                <c:formatCode>General</c:formatCode>
                <c:ptCount val="5"/>
                <c:pt idx="0">
                  <c:v>7414</c:v>
                </c:pt>
                <c:pt idx="1">
                  <c:v>796</c:v>
                </c:pt>
                <c:pt idx="2">
                  <c:v>733</c:v>
                </c:pt>
                <c:pt idx="3">
                  <c:v>378</c:v>
                </c:pt>
                <c:pt idx="4">
                  <c:v>302</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Puchaczów</c:v>
                </c:pt>
                <c:pt idx="1">
                  <c:v>Milejów</c:v>
                </c:pt>
                <c:pt idx="2">
                  <c:v>Cyców</c:v>
                </c:pt>
                <c:pt idx="3">
                  <c:v>Ludwin</c:v>
                </c:pt>
                <c:pt idx="4">
                  <c:v>Urszulin</c:v>
                </c:pt>
              </c:strCache>
            </c:strRef>
          </c:cat>
          <c:val>
            <c:numRef>
              <c:f>1</c:f>
              <c:numCache>
                <c:formatCode>General</c:formatCode>
                <c:ptCount val="5"/>
                <c:pt idx="0">
                  <c:v>6924</c:v>
                </c:pt>
                <c:pt idx="1">
                  <c:v>708</c:v>
                </c:pt>
                <c:pt idx="2">
                  <c:v>691</c:v>
                </c:pt>
                <c:pt idx="3">
                  <c:v>429</c:v>
                </c:pt>
                <c:pt idx="4">
                  <c:v>293</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Puchaczów</c:v>
                </c:pt>
                <c:pt idx="1">
                  <c:v>Milejów</c:v>
                </c:pt>
                <c:pt idx="2">
                  <c:v>Cyców</c:v>
                </c:pt>
                <c:pt idx="3">
                  <c:v>Ludwin</c:v>
                </c:pt>
                <c:pt idx="4">
                  <c:v>Urszulin</c:v>
                </c:pt>
              </c:strCache>
            </c:strRef>
          </c:cat>
          <c:val>
            <c:numRef>
              <c:f>2</c:f>
              <c:numCache>
                <c:formatCode>General</c:formatCode>
                <c:ptCount val="5"/>
                <c:pt idx="0">
                  <c:v>6894</c:v>
                </c:pt>
                <c:pt idx="1">
                  <c:v>852</c:v>
                </c:pt>
                <c:pt idx="2">
                  <c:v>719</c:v>
                </c:pt>
                <c:pt idx="3">
                  <c:v>412</c:v>
                </c:pt>
                <c:pt idx="4">
                  <c:v>329</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Puchaczów</c:v>
                </c:pt>
                <c:pt idx="1">
                  <c:v>Milejów</c:v>
                </c:pt>
                <c:pt idx="2">
                  <c:v>Cyców</c:v>
                </c:pt>
                <c:pt idx="3">
                  <c:v>Ludwin</c:v>
                </c:pt>
                <c:pt idx="4">
                  <c:v>Urszulin</c:v>
                </c:pt>
              </c:strCache>
            </c:strRef>
          </c:cat>
          <c:val>
            <c:numRef>
              <c:f>3</c:f>
              <c:numCache>
                <c:formatCode>General</c:formatCode>
                <c:ptCount val="5"/>
                <c:pt idx="0">
                  <c:v>6987</c:v>
                </c:pt>
                <c:pt idx="1">
                  <c:v>817</c:v>
                </c:pt>
                <c:pt idx="2">
                  <c:v>631</c:v>
                </c:pt>
                <c:pt idx="3">
                  <c:v>434</c:v>
                </c:pt>
                <c:pt idx="4">
                  <c:v>325</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Puchaczów</c:v>
                </c:pt>
                <c:pt idx="1">
                  <c:v>Milejów</c:v>
                </c:pt>
                <c:pt idx="2">
                  <c:v>Cyców</c:v>
                </c:pt>
                <c:pt idx="3">
                  <c:v>Ludwin</c:v>
                </c:pt>
                <c:pt idx="4">
                  <c:v>Urszulin</c:v>
                </c:pt>
              </c:strCache>
            </c:strRef>
          </c:cat>
          <c:val>
            <c:numRef>
              <c:f>4</c:f>
              <c:numCache>
                <c:formatCode>General</c:formatCode>
                <c:ptCount val="5"/>
                <c:pt idx="0">
                  <c:v>7162</c:v>
                </c:pt>
                <c:pt idx="1">
                  <c:v>860</c:v>
                </c:pt>
                <c:pt idx="2">
                  <c:v>606</c:v>
                </c:pt>
                <c:pt idx="3">
                  <c:v>487</c:v>
                </c:pt>
                <c:pt idx="4">
                  <c:v>323</c:v>
                </c:pt>
              </c:numCache>
            </c:numRef>
          </c:val>
        </c:ser>
        <c:dLbls>
          <c:showLegendKey val="0"/>
          <c:showVal val="0"/>
          <c:showCatName val="0"/>
          <c:showSerName val="0"/>
          <c:showPercent val="0"/>
          <c:showBubbleSize val="0"/>
        </c:dLbls>
        <c:gapWidth val="219"/>
        <c:overlap val="-27"/>
        <c:axId val="205264896"/>
        <c:axId val="205207168"/>
      </c:barChart>
      <c:catAx>
        <c:axId val="20526489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207168"/>
        <c:crosses val="autoZero"/>
        <c:auto val="1"/>
        <c:lblAlgn val="ctr"/>
        <c:lblOffset val="100"/>
        <c:noMultiLvlLbl val="1"/>
      </c:catAx>
      <c:valAx>
        <c:axId val="20520716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5264896"/>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mężczyźni</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653</c:v>
                </c:pt>
                <c:pt idx="1">
                  <c:v>544</c:v>
                </c:pt>
                <c:pt idx="2">
                  <c:v>394</c:v>
                </c:pt>
                <c:pt idx="3">
                  <c:v>381</c:v>
                </c:pt>
                <c:pt idx="4">
                  <c:v>378</c:v>
                </c:pt>
              </c:numCache>
            </c:numRef>
          </c:val>
        </c:ser>
        <c:ser>
          <c:idx val="1"/>
          <c:order val="1"/>
          <c:tx>
            <c:strRef>
              <c:f>label 1</c:f>
              <c:strCache>
                <c:ptCount val="1"/>
                <c:pt idx="0">
                  <c:v>kobiety</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730</c:v>
                </c:pt>
                <c:pt idx="1">
                  <c:v>610</c:v>
                </c:pt>
                <c:pt idx="2">
                  <c:v>587</c:v>
                </c:pt>
                <c:pt idx="3">
                  <c:v>538</c:v>
                </c:pt>
                <c:pt idx="4">
                  <c:v>525</c:v>
                </c:pt>
              </c:numCache>
            </c:numRef>
          </c:val>
        </c:ser>
        <c:dLbls>
          <c:showLegendKey val="0"/>
          <c:showVal val="0"/>
          <c:showCatName val="0"/>
          <c:showSerName val="0"/>
          <c:showPercent val="0"/>
          <c:showBubbleSize val="0"/>
        </c:dLbls>
        <c:gapWidth val="219"/>
        <c:overlap val="-27"/>
        <c:axId val="205265920"/>
        <c:axId val="205208896"/>
      </c:barChart>
      <c:lineChart>
        <c:grouping val="standard"/>
        <c:varyColors val="0"/>
        <c:ser>
          <c:idx val="2"/>
          <c:order val="2"/>
          <c:tx>
            <c:strRef>
              <c:f>label 2</c:f>
              <c:strCache>
                <c:ptCount val="1"/>
                <c:pt idx="0">
                  <c:v>ogółem</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1383</c:v>
                </c:pt>
                <c:pt idx="1">
                  <c:v>1154</c:v>
                </c:pt>
                <c:pt idx="2">
                  <c:v>981</c:v>
                </c:pt>
                <c:pt idx="3">
                  <c:v>919</c:v>
                </c:pt>
                <c:pt idx="4">
                  <c:v>903</c:v>
                </c:pt>
              </c:numCache>
            </c:numRef>
          </c:val>
          <c:smooth val="0"/>
        </c:ser>
        <c:dLbls>
          <c:showLegendKey val="0"/>
          <c:showVal val="0"/>
          <c:showCatName val="0"/>
          <c:showSerName val="0"/>
          <c:showPercent val="0"/>
          <c:showBubbleSize val="0"/>
        </c:dLbls>
        <c:hiLowLines>
          <c:spPr>
            <a:ln>
              <a:noFill/>
            </a:ln>
          </c:spPr>
        </c:hiLowLines>
        <c:marker val="1"/>
        <c:smooth val="0"/>
        <c:axId val="205265920"/>
        <c:axId val="205208896"/>
      </c:lineChart>
      <c:catAx>
        <c:axId val="20526592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208896"/>
        <c:crosses val="autoZero"/>
        <c:auto val="1"/>
        <c:lblAlgn val="ctr"/>
        <c:lblOffset val="100"/>
        <c:noMultiLvlLbl val="1"/>
      </c:catAx>
      <c:valAx>
        <c:axId val="20520889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5265920"/>
        <c:crosses val="autoZero"/>
        <c:crossBetween val="between"/>
      </c:valAx>
      <c:dTable>
        <c:showHorzBorder val="1"/>
        <c:showVertBorder val="1"/>
        <c:showOutline val="1"/>
        <c:showKeys val="1"/>
      </c:dTable>
      <c:spPr>
        <a:noFill/>
        <a:ln>
          <a:noFill/>
        </a:ln>
      </c:spPr>
    </c:plotArea>
    <c:legend>
      <c:legendPos val="b"/>
      <c:overlay val="0"/>
      <c:spPr>
        <a:noFill/>
        <a:ln>
          <a:noFill/>
        </a:ln>
      </c:spPr>
      <c:txPr>
        <a:bodyPr/>
        <a:lstStyle/>
        <a:p>
          <a:pPr>
            <a:defRPr sz="900" b="0" strike="noStrike" spc="-1">
              <a:solidFill>
                <a:srgbClr val="595959"/>
              </a:solidFill>
              <a:latin typeface="Calibri"/>
            </a:defRPr>
          </a:pPr>
          <a:endParaRPr lang="pl-PL"/>
        </a:p>
      </c:txPr>
    </c:legend>
    <c:plotVisOnly val="1"/>
    <c:dispBlanksAs val="gap"/>
    <c:showDLblsOverMax val="1"/>
  </c:chart>
  <c:spPr>
    <a:noFill/>
    <a:ln w="9360">
      <a:noFill/>
    </a:ln>
  </c:spPr>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Urszulin</c:v>
                </c:pt>
                <c:pt idx="3">
                  <c:v>Ludwin</c:v>
                </c:pt>
                <c:pt idx="4">
                  <c:v>Puchaczów</c:v>
                </c:pt>
              </c:strCache>
            </c:strRef>
          </c:cat>
          <c:val>
            <c:numRef>
              <c:f>0</c:f>
              <c:numCache>
                <c:formatCode>General</c:formatCode>
                <c:ptCount val="5"/>
                <c:pt idx="0">
                  <c:v>379</c:v>
                </c:pt>
                <c:pt idx="1">
                  <c:v>322</c:v>
                </c:pt>
                <c:pt idx="2">
                  <c:v>283</c:v>
                </c:pt>
                <c:pt idx="3">
                  <c:v>220</c:v>
                </c:pt>
                <c:pt idx="4">
                  <c:v>179</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Urszulin</c:v>
                </c:pt>
                <c:pt idx="3">
                  <c:v>Ludwin</c:v>
                </c:pt>
                <c:pt idx="4">
                  <c:v>Puchaczów</c:v>
                </c:pt>
              </c:strCache>
            </c:strRef>
          </c:cat>
          <c:val>
            <c:numRef>
              <c:f>1</c:f>
              <c:numCache>
                <c:formatCode>General</c:formatCode>
                <c:ptCount val="5"/>
                <c:pt idx="0">
                  <c:v>311</c:v>
                </c:pt>
                <c:pt idx="1">
                  <c:v>255</c:v>
                </c:pt>
                <c:pt idx="2">
                  <c:v>253</c:v>
                </c:pt>
                <c:pt idx="3">
                  <c:v>188</c:v>
                </c:pt>
                <c:pt idx="4">
                  <c:v>147</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Urszulin</c:v>
                </c:pt>
                <c:pt idx="3">
                  <c:v>Ludwin</c:v>
                </c:pt>
                <c:pt idx="4">
                  <c:v>Puchaczów</c:v>
                </c:pt>
              </c:strCache>
            </c:strRef>
          </c:cat>
          <c:val>
            <c:numRef>
              <c:f>2</c:f>
              <c:numCache>
                <c:formatCode>General</c:formatCode>
                <c:ptCount val="5"/>
                <c:pt idx="0">
                  <c:v>254</c:v>
                </c:pt>
                <c:pt idx="1">
                  <c:v>224</c:v>
                </c:pt>
                <c:pt idx="2">
                  <c:v>212</c:v>
                </c:pt>
                <c:pt idx="3">
                  <c:v>166</c:v>
                </c:pt>
                <c:pt idx="4">
                  <c:v>125</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Urszulin</c:v>
                </c:pt>
                <c:pt idx="3">
                  <c:v>Ludwin</c:v>
                </c:pt>
                <c:pt idx="4">
                  <c:v>Puchaczów</c:v>
                </c:pt>
              </c:strCache>
            </c:strRef>
          </c:cat>
          <c:val>
            <c:numRef>
              <c:f>3</c:f>
              <c:numCache>
                <c:formatCode>General</c:formatCode>
                <c:ptCount val="5"/>
                <c:pt idx="0">
                  <c:v>239</c:v>
                </c:pt>
                <c:pt idx="1">
                  <c:v>204</c:v>
                </c:pt>
                <c:pt idx="2">
                  <c:v>183</c:v>
                </c:pt>
                <c:pt idx="3">
                  <c:v>163</c:v>
                </c:pt>
                <c:pt idx="4">
                  <c:v>130</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Urszulin</c:v>
                </c:pt>
                <c:pt idx="3">
                  <c:v>Ludwin</c:v>
                </c:pt>
                <c:pt idx="4">
                  <c:v>Puchaczów</c:v>
                </c:pt>
              </c:strCache>
            </c:strRef>
          </c:cat>
          <c:val>
            <c:numRef>
              <c:f>4</c:f>
              <c:numCache>
                <c:formatCode>General</c:formatCode>
                <c:ptCount val="5"/>
                <c:pt idx="0">
                  <c:v>237</c:v>
                </c:pt>
                <c:pt idx="1">
                  <c:v>198</c:v>
                </c:pt>
                <c:pt idx="2">
                  <c:v>181</c:v>
                </c:pt>
                <c:pt idx="3">
                  <c:v>158</c:v>
                </c:pt>
                <c:pt idx="4">
                  <c:v>129</c:v>
                </c:pt>
              </c:numCache>
            </c:numRef>
          </c:val>
        </c:ser>
        <c:dLbls>
          <c:showLegendKey val="0"/>
          <c:showVal val="0"/>
          <c:showCatName val="0"/>
          <c:showSerName val="0"/>
          <c:showPercent val="0"/>
          <c:showBubbleSize val="0"/>
        </c:dLbls>
        <c:gapWidth val="219"/>
        <c:overlap val="-27"/>
        <c:axId val="205521408"/>
        <c:axId val="205431936"/>
      </c:barChart>
      <c:catAx>
        <c:axId val="20552140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431936"/>
        <c:crosses val="autoZero"/>
        <c:auto val="1"/>
        <c:lblAlgn val="ctr"/>
        <c:lblOffset val="100"/>
        <c:noMultiLvlLbl val="1"/>
      </c:catAx>
      <c:valAx>
        <c:axId val="20543193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5521408"/>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województwo lubelskie</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0</c:f>
              <c:numCache>
                <c:formatCode>General</c:formatCode>
                <c:ptCount val="7"/>
                <c:pt idx="0">
                  <c:v>66.06</c:v>
                </c:pt>
                <c:pt idx="1">
                  <c:v>62.32</c:v>
                </c:pt>
                <c:pt idx="2">
                  <c:v>58</c:v>
                </c:pt>
                <c:pt idx="3">
                  <c:v>43.84</c:v>
                </c:pt>
                <c:pt idx="4">
                  <c:v>54.38</c:v>
                </c:pt>
                <c:pt idx="5">
                  <c:v>48.56</c:v>
                </c:pt>
                <c:pt idx="6">
                  <c:v>49.02</c:v>
                </c:pt>
              </c:numCache>
            </c:numRef>
          </c:val>
        </c:ser>
        <c:ser>
          <c:idx val="1"/>
          <c:order val="1"/>
          <c:tx>
            <c:strRef>
              <c:f>label 1</c:f>
              <c:strCache>
                <c:ptCount val="1"/>
                <c:pt idx="0">
                  <c:v>powiat łęczyński</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1</c:f>
              <c:numCache>
                <c:formatCode>General</c:formatCode>
                <c:ptCount val="7"/>
                <c:pt idx="0">
                  <c:v>66.25</c:v>
                </c:pt>
                <c:pt idx="1">
                  <c:v>62.3</c:v>
                </c:pt>
                <c:pt idx="2">
                  <c:v>57.24</c:v>
                </c:pt>
                <c:pt idx="3">
                  <c:v>41.1</c:v>
                </c:pt>
                <c:pt idx="4">
                  <c:v>56.12</c:v>
                </c:pt>
                <c:pt idx="5">
                  <c:v>48.3</c:v>
                </c:pt>
                <c:pt idx="6">
                  <c:v>47.36</c:v>
                </c:pt>
              </c:numCache>
            </c:numRef>
          </c:val>
        </c:ser>
        <c:ser>
          <c:idx val="2"/>
          <c:order val="2"/>
          <c:tx>
            <c:strRef>
              <c:f>label 2</c:f>
              <c:strCache>
                <c:ptCount val="1"/>
                <c:pt idx="0">
                  <c:v>powiat włodawski</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2</c:f>
              <c:numCache>
                <c:formatCode>General</c:formatCode>
                <c:ptCount val="7"/>
                <c:pt idx="0">
                  <c:v>64.23</c:v>
                </c:pt>
                <c:pt idx="1">
                  <c:v>58.94</c:v>
                </c:pt>
                <c:pt idx="2">
                  <c:v>53.13</c:v>
                </c:pt>
                <c:pt idx="3">
                  <c:v>40.29</c:v>
                </c:pt>
                <c:pt idx="4">
                  <c:v>54.32</c:v>
                </c:pt>
                <c:pt idx="5">
                  <c:v>44.08</c:v>
                </c:pt>
                <c:pt idx="6">
                  <c:v>42.94</c:v>
                </c:pt>
              </c:numCache>
            </c:numRef>
          </c:val>
        </c:ser>
        <c:ser>
          <c:idx val="3"/>
          <c:order val="3"/>
          <c:tx>
            <c:strRef>
              <c:f>label 3</c:f>
              <c:strCache>
                <c:ptCount val="1"/>
                <c:pt idx="0">
                  <c:v>średnia dla OF</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3</c:f>
              <c:numCache>
                <c:formatCode>General</c:formatCode>
                <c:ptCount val="7"/>
                <c:pt idx="0">
                  <c:v>67.158000000000001</c:v>
                </c:pt>
                <c:pt idx="1">
                  <c:v>61.31</c:v>
                </c:pt>
                <c:pt idx="2">
                  <c:v>54.91</c:v>
                </c:pt>
                <c:pt idx="3">
                  <c:v>39.792000000000002</c:v>
                </c:pt>
                <c:pt idx="4">
                  <c:v>58.802</c:v>
                </c:pt>
                <c:pt idx="5">
                  <c:v>45.606000000000002</c:v>
                </c:pt>
                <c:pt idx="6">
                  <c:v>44.4</c:v>
                </c:pt>
              </c:numCache>
            </c:numRef>
          </c:val>
        </c:ser>
        <c:dLbls>
          <c:showLegendKey val="0"/>
          <c:showVal val="0"/>
          <c:showCatName val="0"/>
          <c:showSerName val="0"/>
          <c:showPercent val="0"/>
          <c:showBubbleSize val="0"/>
        </c:dLbls>
        <c:gapWidth val="219"/>
        <c:overlap val="-27"/>
        <c:axId val="205522432"/>
        <c:axId val="205433664"/>
      </c:barChart>
      <c:catAx>
        <c:axId val="205522432"/>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433664"/>
        <c:crosses val="autoZero"/>
        <c:auto val="1"/>
        <c:lblAlgn val="ctr"/>
        <c:lblOffset val="100"/>
        <c:noMultiLvlLbl val="1"/>
      </c:catAx>
      <c:valAx>
        <c:axId val="20543366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5522432"/>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Gmina Cyców</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0</c:f>
              <c:numCache>
                <c:formatCode>General</c:formatCode>
                <c:ptCount val="7"/>
                <c:pt idx="0">
                  <c:v>64.489999999999995</c:v>
                </c:pt>
                <c:pt idx="1">
                  <c:v>59.14</c:v>
                </c:pt>
                <c:pt idx="2">
                  <c:v>53</c:v>
                </c:pt>
                <c:pt idx="3">
                  <c:v>38.08</c:v>
                </c:pt>
                <c:pt idx="4">
                  <c:v>56.76</c:v>
                </c:pt>
                <c:pt idx="5">
                  <c:v>43.61</c:v>
                </c:pt>
                <c:pt idx="6">
                  <c:v>41.96</c:v>
                </c:pt>
              </c:numCache>
            </c:numRef>
          </c:val>
        </c:ser>
        <c:ser>
          <c:idx val="1"/>
          <c:order val="1"/>
          <c:tx>
            <c:strRef>
              <c:f>label 1</c:f>
              <c:strCache>
                <c:ptCount val="1"/>
                <c:pt idx="0">
                  <c:v>Gmina Milejów</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1</c:f>
              <c:numCache>
                <c:formatCode>General</c:formatCode>
                <c:ptCount val="7"/>
                <c:pt idx="0">
                  <c:v>62.05</c:v>
                </c:pt>
                <c:pt idx="1">
                  <c:v>57.14</c:v>
                </c:pt>
                <c:pt idx="2">
                  <c:v>50.22</c:v>
                </c:pt>
                <c:pt idx="3">
                  <c:v>35.299999999999997</c:v>
                </c:pt>
                <c:pt idx="4">
                  <c:v>54.82</c:v>
                </c:pt>
                <c:pt idx="5">
                  <c:v>42.32</c:v>
                </c:pt>
                <c:pt idx="6">
                  <c:v>40.25</c:v>
                </c:pt>
              </c:numCache>
            </c:numRef>
          </c:val>
        </c:ser>
        <c:ser>
          <c:idx val="2"/>
          <c:order val="2"/>
          <c:tx>
            <c:strRef>
              <c:f>label 2</c:f>
              <c:strCache>
                <c:ptCount val="1"/>
                <c:pt idx="0">
                  <c:v>Gmina Ludwin</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2</c:f>
              <c:numCache>
                <c:formatCode>General</c:formatCode>
                <c:ptCount val="7"/>
                <c:pt idx="0">
                  <c:v>67.17</c:v>
                </c:pt>
                <c:pt idx="1">
                  <c:v>61.28</c:v>
                </c:pt>
                <c:pt idx="2">
                  <c:v>55</c:v>
                </c:pt>
                <c:pt idx="3">
                  <c:v>38.85</c:v>
                </c:pt>
                <c:pt idx="4">
                  <c:v>57.98</c:v>
                </c:pt>
                <c:pt idx="5">
                  <c:v>46.32</c:v>
                </c:pt>
                <c:pt idx="6">
                  <c:v>43.78</c:v>
                </c:pt>
              </c:numCache>
            </c:numRef>
          </c:val>
        </c:ser>
        <c:ser>
          <c:idx val="3"/>
          <c:order val="3"/>
          <c:tx>
            <c:strRef>
              <c:f>label 3</c:f>
              <c:strCache>
                <c:ptCount val="1"/>
                <c:pt idx="0">
                  <c:v>Gmina Puchaczów</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3</c:f>
              <c:numCache>
                <c:formatCode>General</c:formatCode>
                <c:ptCount val="7"/>
                <c:pt idx="0">
                  <c:v>69.540000000000006</c:v>
                </c:pt>
                <c:pt idx="1">
                  <c:v>65.05</c:v>
                </c:pt>
                <c:pt idx="2">
                  <c:v>59.76</c:v>
                </c:pt>
                <c:pt idx="3">
                  <c:v>43.63</c:v>
                </c:pt>
                <c:pt idx="4">
                  <c:v>63.16</c:v>
                </c:pt>
                <c:pt idx="5">
                  <c:v>48.97</c:v>
                </c:pt>
                <c:pt idx="6">
                  <c:v>50.17</c:v>
                </c:pt>
              </c:numCache>
            </c:numRef>
          </c:val>
        </c:ser>
        <c:ser>
          <c:idx val="4"/>
          <c:order val="4"/>
          <c:tx>
            <c:strRef>
              <c:f>label 4</c:f>
              <c:strCache>
                <c:ptCount val="1"/>
                <c:pt idx="0">
                  <c:v>Gmina Urszulin</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7"/>
                <c:pt idx="0">
                  <c:v>II tura wyborów Prezydenta RP w 2020 r.</c:v>
                </c:pt>
                <c:pt idx="1">
                  <c:v>I tura wyborów Prezydenta RP w 2020 r.</c:v>
                </c:pt>
                <c:pt idx="2">
                  <c:v>Wybory do Sejmu i Senatu RP w 2019 r.</c:v>
                </c:pt>
                <c:pt idx="3">
                  <c:v>Wybory do Parlamentu Europejskiego w 2019 r.</c:v>
                </c:pt>
                <c:pt idx="4">
                  <c:v>Wybory Samorządowe w 2018 r.</c:v>
                </c:pt>
                <c:pt idx="5">
                  <c:v>Wybory Prezydenta RP w 2015 r.</c:v>
                </c:pt>
                <c:pt idx="6">
                  <c:v>Wybory do Sejmu i Senatu RP w 2015 r.</c:v>
                </c:pt>
              </c:strCache>
            </c:strRef>
          </c:cat>
          <c:val>
            <c:numRef>
              <c:f>4</c:f>
              <c:numCache>
                <c:formatCode>General</c:formatCode>
                <c:ptCount val="7"/>
                <c:pt idx="0">
                  <c:v>72.540000000000006</c:v>
                </c:pt>
                <c:pt idx="1">
                  <c:v>63.94</c:v>
                </c:pt>
                <c:pt idx="2">
                  <c:v>56.57</c:v>
                </c:pt>
                <c:pt idx="3">
                  <c:v>43.1</c:v>
                </c:pt>
                <c:pt idx="4">
                  <c:v>61.29</c:v>
                </c:pt>
                <c:pt idx="5">
                  <c:v>46.81</c:v>
                </c:pt>
                <c:pt idx="6">
                  <c:v>45.84</c:v>
                </c:pt>
              </c:numCache>
            </c:numRef>
          </c:val>
        </c:ser>
        <c:dLbls>
          <c:showLegendKey val="0"/>
          <c:showVal val="0"/>
          <c:showCatName val="0"/>
          <c:showSerName val="0"/>
          <c:showPercent val="0"/>
          <c:showBubbleSize val="0"/>
        </c:dLbls>
        <c:gapWidth val="219"/>
        <c:overlap val="-27"/>
        <c:axId val="206073856"/>
        <c:axId val="205435392"/>
      </c:barChart>
      <c:catAx>
        <c:axId val="20607385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435392"/>
        <c:crosses val="autoZero"/>
        <c:auto val="1"/>
        <c:lblAlgn val="ctr"/>
        <c:lblOffset val="100"/>
        <c:noMultiLvlLbl val="1"/>
      </c:catAx>
      <c:valAx>
        <c:axId val="20543539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073856"/>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stowarzyszenia i organizacje</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116</c:v>
                </c:pt>
                <c:pt idx="1">
                  <c:v>117</c:v>
                </c:pt>
                <c:pt idx="2">
                  <c:v>119</c:v>
                </c:pt>
                <c:pt idx="3">
                  <c:v>123</c:v>
                </c:pt>
                <c:pt idx="4">
                  <c:v>119</c:v>
                </c:pt>
              </c:numCache>
            </c:numRef>
          </c:val>
        </c:ser>
        <c:ser>
          <c:idx val="1"/>
          <c:order val="1"/>
          <c:tx>
            <c:strRef>
              <c:f>label 1</c:f>
              <c:strCache>
                <c:ptCount val="1"/>
                <c:pt idx="0">
                  <c:v>fundacje</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6</c:v>
                </c:pt>
                <c:pt idx="1">
                  <c:v>7</c:v>
                </c:pt>
                <c:pt idx="2">
                  <c:v>7</c:v>
                </c:pt>
                <c:pt idx="3">
                  <c:v>8</c:v>
                </c:pt>
                <c:pt idx="4">
                  <c:v>9</c:v>
                </c:pt>
              </c:numCache>
            </c:numRef>
          </c:val>
        </c:ser>
        <c:dLbls>
          <c:showLegendKey val="0"/>
          <c:showVal val="0"/>
          <c:showCatName val="0"/>
          <c:showSerName val="0"/>
          <c:showPercent val="0"/>
          <c:showBubbleSize val="0"/>
        </c:dLbls>
        <c:gapWidth val="219"/>
        <c:overlap val="-27"/>
        <c:axId val="206074880"/>
        <c:axId val="205437120"/>
      </c:barChart>
      <c:lineChart>
        <c:grouping val="standard"/>
        <c:varyColors val="0"/>
        <c:ser>
          <c:idx val="2"/>
          <c:order val="2"/>
          <c:tx>
            <c:strRef>
              <c:f>label 2</c:f>
              <c:strCache>
                <c:ptCount val="1"/>
                <c:pt idx="0">
                  <c:v>organizacje pozarządowe łącznie</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122</c:v>
                </c:pt>
                <c:pt idx="1">
                  <c:v>124</c:v>
                </c:pt>
                <c:pt idx="2">
                  <c:v>126</c:v>
                </c:pt>
                <c:pt idx="3">
                  <c:v>131</c:v>
                </c:pt>
                <c:pt idx="4">
                  <c:v>128</c:v>
                </c:pt>
              </c:numCache>
            </c:numRef>
          </c:val>
          <c:smooth val="0"/>
        </c:ser>
        <c:dLbls>
          <c:showLegendKey val="0"/>
          <c:showVal val="0"/>
          <c:showCatName val="0"/>
          <c:showSerName val="0"/>
          <c:showPercent val="0"/>
          <c:showBubbleSize val="0"/>
        </c:dLbls>
        <c:hiLowLines>
          <c:spPr>
            <a:ln>
              <a:noFill/>
            </a:ln>
          </c:spPr>
        </c:hiLowLines>
        <c:marker val="1"/>
        <c:smooth val="0"/>
        <c:axId val="206074880"/>
        <c:axId val="205437120"/>
      </c:lineChart>
      <c:catAx>
        <c:axId val="20607488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437120"/>
        <c:crosses val="autoZero"/>
        <c:auto val="1"/>
        <c:lblAlgn val="ctr"/>
        <c:lblOffset val="100"/>
        <c:noMultiLvlLbl val="1"/>
      </c:catAx>
      <c:valAx>
        <c:axId val="20543712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074880"/>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0</c:f>
              <c:numCache>
                <c:formatCode>General</c:formatCode>
                <c:ptCount val="5"/>
                <c:pt idx="0">
                  <c:v>23</c:v>
                </c:pt>
                <c:pt idx="1">
                  <c:v>18</c:v>
                </c:pt>
                <c:pt idx="2">
                  <c:v>31</c:v>
                </c:pt>
                <c:pt idx="3">
                  <c:v>27</c:v>
                </c:pt>
                <c:pt idx="4">
                  <c:v>23</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1</c:f>
              <c:numCache>
                <c:formatCode>General</c:formatCode>
                <c:ptCount val="5"/>
                <c:pt idx="0">
                  <c:v>24</c:v>
                </c:pt>
                <c:pt idx="1">
                  <c:v>21</c:v>
                </c:pt>
                <c:pt idx="2">
                  <c:v>30</c:v>
                </c:pt>
                <c:pt idx="3">
                  <c:v>27</c:v>
                </c:pt>
                <c:pt idx="4">
                  <c:v>22</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2</c:f>
              <c:numCache>
                <c:formatCode>General</c:formatCode>
                <c:ptCount val="5"/>
                <c:pt idx="0">
                  <c:v>24</c:v>
                </c:pt>
                <c:pt idx="1">
                  <c:v>23</c:v>
                </c:pt>
                <c:pt idx="2">
                  <c:v>29</c:v>
                </c:pt>
                <c:pt idx="3">
                  <c:v>28</c:v>
                </c:pt>
                <c:pt idx="4">
                  <c:v>22</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3</c:f>
              <c:numCache>
                <c:formatCode>General</c:formatCode>
                <c:ptCount val="5"/>
                <c:pt idx="0">
                  <c:v>25</c:v>
                </c:pt>
                <c:pt idx="1">
                  <c:v>23</c:v>
                </c:pt>
                <c:pt idx="2">
                  <c:v>30</c:v>
                </c:pt>
                <c:pt idx="3">
                  <c:v>32</c:v>
                </c:pt>
                <c:pt idx="4">
                  <c:v>21</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4</c:f>
              <c:numCache>
                <c:formatCode>General</c:formatCode>
                <c:ptCount val="5"/>
                <c:pt idx="0">
                  <c:v>24</c:v>
                </c:pt>
                <c:pt idx="1">
                  <c:v>22</c:v>
                </c:pt>
                <c:pt idx="2">
                  <c:v>30</c:v>
                </c:pt>
                <c:pt idx="3">
                  <c:v>31</c:v>
                </c:pt>
                <c:pt idx="4">
                  <c:v>21</c:v>
                </c:pt>
              </c:numCache>
            </c:numRef>
          </c:val>
        </c:ser>
        <c:dLbls>
          <c:showLegendKey val="0"/>
          <c:showVal val="0"/>
          <c:showCatName val="0"/>
          <c:showSerName val="0"/>
          <c:showPercent val="0"/>
          <c:showBubbleSize val="0"/>
        </c:dLbls>
        <c:gapWidth val="219"/>
        <c:overlap val="-27"/>
        <c:axId val="206076416"/>
        <c:axId val="205807616"/>
      </c:barChart>
      <c:catAx>
        <c:axId val="20607641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807616"/>
        <c:crosses val="autoZero"/>
        <c:auto val="1"/>
        <c:lblAlgn val="ctr"/>
        <c:lblOffset val="100"/>
        <c:noMultiLvlLbl val="1"/>
      </c:catAx>
      <c:valAx>
        <c:axId val="20580761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076416"/>
        <c:crosses val="autoZero"/>
        <c:crossBetween val="between"/>
        <c:majorUnit val="10"/>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woj. Lubelskie</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3.53</c:v>
                </c:pt>
                <c:pt idx="1">
                  <c:v>3.69</c:v>
                </c:pt>
                <c:pt idx="2">
                  <c:v>3.84</c:v>
                </c:pt>
                <c:pt idx="3">
                  <c:v>3.68</c:v>
                </c:pt>
                <c:pt idx="4">
                  <c:v>3.81</c:v>
                </c:pt>
              </c:numCache>
            </c:numRef>
          </c:val>
          <c:smooth val="0"/>
        </c:ser>
        <c:ser>
          <c:idx val="1"/>
          <c:order val="1"/>
          <c:tx>
            <c:strRef>
              <c:f>label 1</c:f>
              <c:strCache>
                <c:ptCount val="1"/>
                <c:pt idx="0">
                  <c:v>Powiat łęczyński</c:v>
                </c:pt>
              </c:strCache>
            </c:strRef>
          </c:tx>
          <c:spPr>
            <a:ln w="28440">
              <a:solidFill>
                <a:srgbClr val="ED7D31"/>
              </a:solidFill>
              <a:round/>
            </a:ln>
          </c:spPr>
          <c:marker>
            <c:symbol val="circle"/>
            <c:size val="5"/>
            <c:spPr>
              <a:solidFill>
                <a:srgbClr val="ED7D31"/>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3.21</c:v>
                </c:pt>
                <c:pt idx="1">
                  <c:v>3.33</c:v>
                </c:pt>
                <c:pt idx="2">
                  <c:v>3.45</c:v>
                </c:pt>
                <c:pt idx="3">
                  <c:v>3.57</c:v>
                </c:pt>
                <c:pt idx="4">
                  <c:v>3.59</c:v>
                </c:pt>
              </c:numCache>
            </c:numRef>
          </c:val>
          <c:smooth val="0"/>
        </c:ser>
        <c:ser>
          <c:idx val="2"/>
          <c:order val="2"/>
          <c:tx>
            <c:strRef>
              <c:f>label 2</c:f>
              <c:strCache>
                <c:ptCount val="1"/>
                <c:pt idx="0">
                  <c:v>Powiat włodawski</c:v>
                </c:pt>
              </c:strCache>
            </c:strRef>
          </c:tx>
          <c:spPr>
            <a:ln w="28440">
              <a:solidFill>
                <a:srgbClr val="FFC000"/>
              </a:solidFill>
              <a:round/>
            </a:ln>
          </c:spPr>
          <c:marker>
            <c:symbol val="circle"/>
            <c:size val="5"/>
            <c:spPr>
              <a:solidFill>
                <a:srgbClr val="FFC000"/>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4.05</c:v>
                </c:pt>
                <c:pt idx="1">
                  <c:v>4.2</c:v>
                </c:pt>
                <c:pt idx="2">
                  <c:v>4.3</c:v>
                </c:pt>
                <c:pt idx="3">
                  <c:v>4.09</c:v>
                </c:pt>
                <c:pt idx="4">
                  <c:v>4.3</c:v>
                </c:pt>
              </c:numCache>
            </c:numRef>
          </c:val>
          <c:smooth val="0"/>
        </c:ser>
        <c:ser>
          <c:idx val="3"/>
          <c:order val="3"/>
          <c:tx>
            <c:strRef>
              <c:f>label 3</c:f>
              <c:strCache>
                <c:ptCount val="1"/>
                <c:pt idx="0">
                  <c:v>OF</c:v>
                </c:pt>
              </c:strCache>
            </c:strRef>
          </c:tx>
          <c:spPr>
            <a:ln w="28440">
              <a:solidFill>
                <a:srgbClr val="A5A5A5"/>
              </a:solidFill>
              <a:round/>
            </a:ln>
          </c:spPr>
          <c:marker>
            <c:symbol val="circle"/>
            <c:size val="5"/>
            <c:spPr>
              <a:solidFill>
                <a:srgbClr val="A5A5A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3</c:f>
              <c:numCache>
                <c:formatCode>General</c:formatCode>
                <c:ptCount val="5"/>
                <c:pt idx="0">
                  <c:v>4.008</c:v>
                </c:pt>
                <c:pt idx="1">
                  <c:v>4.0540000000000003</c:v>
                </c:pt>
                <c:pt idx="2">
                  <c:v>4.1239999999999997</c:v>
                </c:pt>
                <c:pt idx="3">
                  <c:v>4.24</c:v>
                </c:pt>
                <c:pt idx="4">
                  <c:v>4.1500000000000004</c:v>
                </c:pt>
              </c:numCache>
            </c:numRef>
          </c:val>
          <c:smooth val="0"/>
        </c:ser>
        <c:dLbls>
          <c:showLegendKey val="0"/>
          <c:showVal val="0"/>
          <c:showCatName val="0"/>
          <c:showSerName val="0"/>
          <c:showPercent val="0"/>
          <c:showBubbleSize val="0"/>
        </c:dLbls>
        <c:hiLowLines>
          <c:spPr>
            <a:ln>
              <a:noFill/>
            </a:ln>
          </c:spPr>
        </c:hiLowLines>
        <c:marker val="1"/>
        <c:smooth val="0"/>
        <c:axId val="205963776"/>
        <c:axId val="205809344"/>
      </c:lineChart>
      <c:catAx>
        <c:axId val="20596377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809344"/>
        <c:crosses val="autoZero"/>
        <c:auto val="1"/>
        <c:lblAlgn val="ctr"/>
        <c:lblOffset val="100"/>
        <c:noMultiLvlLbl val="1"/>
      </c:catAx>
      <c:valAx>
        <c:axId val="205809344"/>
        <c:scaling>
          <c:orientation val="minMax"/>
          <c:min val="2.5"/>
        </c:scaling>
        <c:delete val="1"/>
        <c:axPos val="l"/>
        <c:numFmt formatCode="0\.00" sourceLinked="0"/>
        <c:majorTickMark val="none"/>
        <c:minorTickMark val="none"/>
        <c:tickLblPos val="nextTo"/>
        <c:crossAx val="205963776"/>
        <c:crosses val="autoZero"/>
        <c:crossBetween val="midCat"/>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pieChart>
        <c:varyColors val="1"/>
        <c:ser>
          <c:idx val="0"/>
          <c:order val="0"/>
          <c:tx>
            <c:strRef>
              <c:f>label 0</c:f>
              <c:strCache>
                <c:ptCount val="1"/>
                <c:pt idx="0">
                  <c:v>Seria bez nazwy 1</c:v>
                </c:pt>
              </c:strCache>
            </c:strRef>
          </c:tx>
          <c:spPr>
            <a:solidFill>
              <a:srgbClr val="5B9BD5"/>
            </a:solidFill>
            <a:ln>
              <a:noFill/>
            </a:ln>
          </c:spPr>
          <c:dPt>
            <c:idx val="0"/>
            <c:bubble3D val="0"/>
            <c:spPr>
              <a:solidFill>
                <a:srgbClr val="5B9BD5"/>
              </a:solidFill>
              <a:ln w="19080">
                <a:solidFill>
                  <a:srgbClr val="FFFFFF"/>
                </a:solidFill>
                <a:round/>
              </a:ln>
            </c:spPr>
          </c:dPt>
          <c:dPt>
            <c:idx val="1"/>
            <c:bubble3D val="0"/>
            <c:spPr>
              <a:solidFill>
                <a:srgbClr val="ED7D31"/>
              </a:solidFill>
              <a:ln w="19080">
                <a:solidFill>
                  <a:srgbClr val="FFFFFF"/>
                </a:solidFill>
                <a:round/>
              </a:ln>
            </c:spPr>
          </c:dPt>
          <c:dPt>
            <c:idx val="2"/>
            <c:bubble3D val="0"/>
            <c:spPr>
              <a:solidFill>
                <a:srgbClr val="A5A5A5"/>
              </a:solidFill>
              <a:ln w="19080">
                <a:solidFill>
                  <a:srgbClr val="FFFFFF"/>
                </a:solidFill>
                <a:round/>
              </a:ln>
            </c:spPr>
          </c:dPt>
          <c:dPt>
            <c:idx val="3"/>
            <c:bubble3D val="0"/>
            <c:spPr>
              <a:solidFill>
                <a:srgbClr val="FFC000"/>
              </a:solidFill>
              <a:ln w="19080">
                <a:solidFill>
                  <a:srgbClr val="FFFFFF"/>
                </a:solidFill>
                <a:round/>
              </a:ln>
            </c:spPr>
          </c:dPt>
          <c:dPt>
            <c:idx val="4"/>
            <c:bubble3D val="0"/>
            <c:spPr>
              <a:solidFill>
                <a:srgbClr val="4472C4"/>
              </a:solidFill>
              <a:ln w="19080">
                <a:solidFill>
                  <a:srgbClr val="FFFFFF"/>
                </a:solidFill>
                <a:round/>
              </a:ln>
            </c:spPr>
          </c:dPt>
          <c:dPt>
            <c:idx val="5"/>
            <c:bubble3D val="0"/>
            <c:spPr>
              <a:solidFill>
                <a:srgbClr val="70AD47"/>
              </a:solidFill>
              <a:ln w="19080">
                <a:solidFill>
                  <a:srgbClr val="FFFFFF"/>
                </a:solidFill>
                <a:round/>
              </a:ln>
            </c:spPr>
          </c:dPt>
          <c:dPt>
            <c:idx val="6"/>
            <c:bubble3D val="0"/>
            <c:spPr>
              <a:solidFill>
                <a:srgbClr val="255E91"/>
              </a:solidFill>
              <a:ln w="19080">
                <a:solidFill>
                  <a:srgbClr val="FFFFFF"/>
                </a:solidFill>
                <a:round/>
              </a:ln>
            </c:spPr>
          </c:dPt>
          <c:dLbls>
            <c:numFmt formatCode="General" sourceLinked="0"/>
            <c:txPr>
              <a:bodyPr/>
              <a:lstStyle/>
              <a:p>
                <a:pPr>
                  <a:defRPr sz="900" b="0" strike="noStrike" spc="-1">
                    <a:solidFill>
                      <a:srgbClr val="404040"/>
                    </a:solidFill>
                    <a:latin typeface="Calibri"/>
                  </a:defRPr>
                </a:pPr>
                <a:endParaRPr lang="pl-PL"/>
              </a:p>
            </c:txPr>
            <c:dLblPos val="bestFit"/>
            <c:showLegendKey val="0"/>
            <c:showVal val="0"/>
            <c:showCatName val="0"/>
            <c:showSerName val="0"/>
            <c:showPercent val="1"/>
            <c:showBubbleSize val="1"/>
            <c:separator>
</c:separator>
            <c:showLeaderLines val="0"/>
          </c:dLbls>
          <c:cat>
            <c:strRef>
              <c:f>categories</c:f>
              <c:strCache>
                <c:ptCount val="7"/>
                <c:pt idx="0">
                  <c:v>użytki rolne razem</c:v>
                </c:pt>
                <c:pt idx="1">
                  <c:v>grunty leśne oraz zadrzewione i zakrzewione razem</c:v>
                </c:pt>
                <c:pt idx="2">
                  <c:v>grunty pod wodami razem</c:v>
                </c:pt>
                <c:pt idx="3">
                  <c:v>grunty zabudowane i zurbanizowane razem</c:v>
                </c:pt>
                <c:pt idx="4">
                  <c:v>użytki ekologiczne</c:v>
                </c:pt>
                <c:pt idx="5">
                  <c:v>grunty rolne - nieużytki</c:v>
                </c:pt>
                <c:pt idx="6">
                  <c:v>tereny różne</c:v>
                </c:pt>
              </c:strCache>
            </c:strRef>
          </c:cat>
          <c:val>
            <c:numRef>
              <c:f>0</c:f>
              <c:numCache>
                <c:formatCode>General</c:formatCode>
                <c:ptCount val="7"/>
                <c:pt idx="0">
                  <c:v>44787</c:v>
                </c:pt>
                <c:pt idx="1">
                  <c:v>12906</c:v>
                </c:pt>
                <c:pt idx="2">
                  <c:v>1647</c:v>
                </c:pt>
                <c:pt idx="3">
                  <c:v>2615</c:v>
                </c:pt>
                <c:pt idx="4">
                  <c:v>955</c:v>
                </c:pt>
                <c:pt idx="5">
                  <c:v>2066</c:v>
                </c:pt>
                <c:pt idx="6">
                  <c:v>73</c:v>
                </c:pt>
              </c:numCache>
            </c:numRef>
          </c:val>
        </c:ser>
        <c:dLbls>
          <c:showLegendKey val="0"/>
          <c:showVal val="0"/>
          <c:showCatName val="0"/>
          <c:showSerName val="0"/>
          <c:showPercent val="0"/>
          <c:showBubbleSize val="0"/>
          <c:showLeaderLines val="0"/>
        </c:dLbls>
        <c:firstSliceAng val="0"/>
      </c:pieChart>
      <c:spPr>
        <a:noFill/>
        <a:ln>
          <a:noFill/>
        </a:ln>
      </c:spPr>
    </c:plotArea>
    <c:legend>
      <c:legendPos val="r"/>
      <c:overlay val="0"/>
      <c:spPr>
        <a:noFill/>
        <a:ln>
          <a:noFill/>
        </a:ln>
      </c:spPr>
      <c:txPr>
        <a:bodyPr/>
        <a:lstStyle/>
        <a:p>
          <a:pPr>
            <a:defRPr sz="900" b="0" strike="noStrike" spc="-1">
              <a:solidFill>
                <a:srgbClr val="595959"/>
              </a:solidFill>
              <a:latin typeface="Calibri"/>
            </a:defRPr>
          </a:pPr>
          <a:endParaRPr lang="pl-PL"/>
        </a:p>
      </c:txPr>
    </c:legend>
    <c:plotVisOnly val="1"/>
    <c:dispBlanksAs val="gap"/>
    <c:showDLblsOverMax val="1"/>
  </c:chart>
  <c:spPr>
    <a:noFill/>
    <a:ln w="9360">
      <a:noFill/>
    </a:ln>
  </c:spPr>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SUMA</c:v>
                </c:pt>
              </c:strCache>
            </c:strRef>
          </c:tx>
          <c:spPr>
            <a:ln w="28440">
              <a:solidFill>
                <a:srgbClr val="5B9BD5"/>
              </a:solidFill>
              <a:round/>
            </a:ln>
          </c:spPr>
          <c:marker>
            <c:symbol val="circle"/>
            <c:size val="5"/>
            <c:spPr>
              <a:solidFill>
                <a:srgbClr val="5B9BD5"/>
              </a:solidFill>
            </c:spPr>
          </c:marker>
          <c:dLbls>
            <c:txPr>
              <a:bodyPr/>
              <a:lstStyle/>
              <a:p>
                <a:pPr>
                  <a:defRPr sz="900" b="0" strike="noStrike" spc="-1">
                    <a:solidFill>
                      <a:srgbClr val="404040"/>
                    </a:solidFill>
                    <a:latin typeface="Calibri"/>
                  </a:defRPr>
                </a:pPr>
                <a:endParaRPr lang="pl-PL"/>
              </a:p>
            </c:txPr>
            <c:dLblPos val="t"/>
            <c:showLegendKey val="0"/>
            <c:showVal val="1"/>
            <c:showCatName val="0"/>
            <c:showSerName val="0"/>
            <c:showPercent val="0"/>
            <c:showBubbleSize val="1"/>
            <c:separator>; </c:separator>
            <c:showLeaderLines val="0"/>
          </c:dLbls>
          <c:cat>
            <c:strRef>
              <c:f>categories</c:f>
              <c:strCache>
                <c:ptCount val="4"/>
                <c:pt idx="0">
                  <c:v>2015</c:v>
                </c:pt>
                <c:pt idx="1">
                  <c:v>2016</c:v>
                </c:pt>
                <c:pt idx="2">
                  <c:v>2017</c:v>
                </c:pt>
                <c:pt idx="3">
                  <c:v>2018</c:v>
                </c:pt>
              </c:strCache>
            </c:strRef>
          </c:cat>
          <c:val>
            <c:numRef>
              <c:f>0</c:f>
              <c:numCache>
                <c:formatCode>General</c:formatCode>
                <c:ptCount val="4"/>
                <c:pt idx="0">
                  <c:v>1001</c:v>
                </c:pt>
                <c:pt idx="1">
                  <c:v>1174</c:v>
                </c:pt>
                <c:pt idx="2">
                  <c:v>1183</c:v>
                </c:pt>
                <c:pt idx="3">
                  <c:v>1259</c:v>
                </c:pt>
              </c:numCache>
            </c:numRef>
          </c:val>
          <c:smooth val="0"/>
        </c:ser>
        <c:dLbls>
          <c:showLegendKey val="0"/>
          <c:showVal val="0"/>
          <c:showCatName val="0"/>
          <c:showSerName val="0"/>
          <c:showPercent val="0"/>
          <c:showBubbleSize val="0"/>
        </c:dLbls>
        <c:hiLowLines>
          <c:spPr>
            <a:ln>
              <a:noFill/>
            </a:ln>
          </c:spPr>
        </c:hiLowLines>
        <c:marker val="1"/>
        <c:smooth val="0"/>
        <c:axId val="205964800"/>
        <c:axId val="205811072"/>
      </c:lineChart>
      <c:catAx>
        <c:axId val="20596480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811072"/>
        <c:crosses val="autoZero"/>
        <c:auto val="1"/>
        <c:lblAlgn val="ctr"/>
        <c:lblOffset val="100"/>
        <c:noMultiLvlLbl val="1"/>
      </c:catAx>
      <c:valAx>
        <c:axId val="205811072"/>
        <c:scaling>
          <c:orientation val="minMax"/>
          <c:min val="800"/>
        </c:scaling>
        <c:delete val="1"/>
        <c:axPos val="l"/>
        <c:numFmt formatCode="General" sourceLinked="0"/>
        <c:majorTickMark val="none"/>
        <c:minorTickMark val="none"/>
        <c:tickLblPos val="nextTo"/>
        <c:crossAx val="205964800"/>
        <c:crosses val="autoZero"/>
        <c:crossBetween val="midCat"/>
      </c:valAx>
      <c:spPr>
        <a:noFill/>
        <a:ln>
          <a:noFill/>
        </a:ln>
      </c:spPr>
    </c:plotArea>
    <c:plotVisOnly val="1"/>
    <c:dispBlanksAs val="gap"/>
    <c:showDLblsOverMax val="1"/>
  </c:chart>
  <c:spPr>
    <a:noFill/>
    <a:ln w="9360">
      <a:noFill/>
    </a:ln>
  </c:spPr>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suma</c:v>
                </c:pt>
              </c:strCache>
            </c:strRef>
          </c:tx>
          <c:spPr>
            <a:ln w="28440">
              <a:solidFill>
                <a:srgbClr val="5B9BD5"/>
              </a:solidFill>
              <a:round/>
            </a:ln>
          </c:spPr>
          <c:marker>
            <c:symbol val="circle"/>
            <c:size val="5"/>
            <c:spPr>
              <a:solidFill>
                <a:srgbClr val="5B9BD5"/>
              </a:solidFill>
            </c:spPr>
          </c:marker>
          <c:dLbls>
            <c:txPr>
              <a:bodyPr/>
              <a:lstStyle/>
              <a:p>
                <a:pPr>
                  <a:defRPr sz="900" b="0" strike="noStrike" spc="-1">
                    <a:solidFill>
                      <a:srgbClr val="404040"/>
                    </a:solidFill>
                    <a:latin typeface="Calibri"/>
                  </a:defRPr>
                </a:pPr>
                <a:endParaRPr lang="pl-PL"/>
              </a:p>
            </c:txPr>
            <c:dLblPos val="t"/>
            <c:showLegendKey val="0"/>
            <c:showVal val="1"/>
            <c:showCatName val="0"/>
            <c:showSerName val="0"/>
            <c:showPercent val="0"/>
            <c:showBubbleSize val="1"/>
            <c:separator>; </c:separator>
            <c:showLeaderLines val="0"/>
          </c:dLbls>
          <c:cat>
            <c:strRef>
              <c:f>categories</c:f>
              <c:strCache>
                <c:ptCount val="4"/>
                <c:pt idx="0">
                  <c:v>2015</c:v>
                </c:pt>
                <c:pt idx="1">
                  <c:v>2016</c:v>
                </c:pt>
                <c:pt idx="2">
                  <c:v>2017</c:v>
                </c:pt>
                <c:pt idx="3">
                  <c:v>2018</c:v>
                </c:pt>
              </c:strCache>
            </c:strRef>
          </c:cat>
          <c:val>
            <c:numRef>
              <c:f>0</c:f>
              <c:numCache>
                <c:formatCode>General</c:formatCode>
                <c:ptCount val="4"/>
                <c:pt idx="0">
                  <c:v>2395</c:v>
                </c:pt>
                <c:pt idx="1">
                  <c:v>2177</c:v>
                </c:pt>
                <c:pt idx="2">
                  <c:v>2501</c:v>
                </c:pt>
                <c:pt idx="3">
                  <c:v>2867</c:v>
                </c:pt>
              </c:numCache>
            </c:numRef>
          </c:val>
          <c:smooth val="0"/>
        </c:ser>
        <c:dLbls>
          <c:showLegendKey val="0"/>
          <c:showVal val="0"/>
          <c:showCatName val="0"/>
          <c:showSerName val="0"/>
          <c:showPercent val="0"/>
          <c:showBubbleSize val="0"/>
        </c:dLbls>
        <c:hiLowLines>
          <c:spPr>
            <a:ln>
              <a:noFill/>
            </a:ln>
          </c:spPr>
        </c:hiLowLines>
        <c:marker val="1"/>
        <c:smooth val="0"/>
        <c:axId val="205965312"/>
        <c:axId val="205812800"/>
      </c:lineChart>
      <c:catAx>
        <c:axId val="205965312"/>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812800"/>
        <c:crosses val="autoZero"/>
        <c:auto val="1"/>
        <c:lblAlgn val="ctr"/>
        <c:lblOffset val="100"/>
        <c:noMultiLvlLbl val="1"/>
      </c:catAx>
      <c:valAx>
        <c:axId val="205812800"/>
        <c:scaling>
          <c:orientation val="minMax"/>
          <c:min val="2000"/>
        </c:scaling>
        <c:delete val="1"/>
        <c:axPos val="l"/>
        <c:numFmt formatCode="General" sourceLinked="0"/>
        <c:majorTickMark val="none"/>
        <c:minorTickMark val="none"/>
        <c:tickLblPos val="nextTo"/>
        <c:crossAx val="205965312"/>
        <c:crosses val="autoZero"/>
        <c:crossBetween val="midCat"/>
      </c:valAx>
      <c:spPr>
        <a:noFill/>
        <a:ln>
          <a:noFill/>
        </a:ln>
      </c:spPr>
    </c:plotArea>
    <c:plotVisOnly val="1"/>
    <c:dispBlanksAs val="gap"/>
    <c:showDLblsOverMax val="1"/>
  </c:chart>
  <c:spPr>
    <a:noFill/>
    <a:ln w="9360">
      <a:noFill/>
    </a:ln>
  </c:spPr>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Seria bez nazwy 1</c:v>
                </c:pt>
              </c:strCache>
            </c:strRef>
          </c:tx>
          <c:spPr>
            <a:ln w="28440">
              <a:solidFill>
                <a:srgbClr val="5B9BD5"/>
              </a:solidFill>
              <a:round/>
            </a:ln>
          </c:spPr>
          <c:marker>
            <c:symbol val="circle"/>
            <c:size val="5"/>
            <c:spPr>
              <a:solidFill>
                <a:srgbClr val="5B9BD5"/>
              </a:solidFill>
            </c:spPr>
          </c:marker>
          <c:dLbls>
            <c:txPr>
              <a:bodyPr/>
              <a:lstStyle/>
              <a:p>
                <a:pPr>
                  <a:defRPr sz="900" b="0" strike="noStrike" spc="-1">
                    <a:solidFill>
                      <a:srgbClr val="404040"/>
                    </a:solidFill>
                    <a:latin typeface="Calibri"/>
                  </a:defRPr>
                </a:pPr>
                <a:endParaRPr lang="pl-PL"/>
              </a:p>
            </c:txPr>
            <c:dLblPos val="t"/>
            <c:showLegendKey val="0"/>
            <c:showVal val="1"/>
            <c:showCatName val="0"/>
            <c:showSerName val="0"/>
            <c:showPercent val="0"/>
            <c:showBubbleSize val="1"/>
            <c:separator>; </c:separator>
            <c:showLeaderLines val="0"/>
          </c:dLbls>
          <c:cat>
            <c:strRef>
              <c:f>categories</c:f>
              <c:strCache>
                <c:ptCount val="4"/>
                <c:pt idx="0">
                  <c:v>2015</c:v>
                </c:pt>
                <c:pt idx="1">
                  <c:v>2016</c:v>
                </c:pt>
                <c:pt idx="2">
                  <c:v>2017</c:v>
                </c:pt>
                <c:pt idx="3">
                  <c:v>2018</c:v>
                </c:pt>
              </c:strCache>
            </c:strRef>
          </c:cat>
          <c:val>
            <c:numRef>
              <c:f>0</c:f>
              <c:numCache>
                <c:formatCode>General</c:formatCode>
                <c:ptCount val="4"/>
                <c:pt idx="0">
                  <c:v>10314</c:v>
                </c:pt>
                <c:pt idx="1">
                  <c:v>10424</c:v>
                </c:pt>
                <c:pt idx="2">
                  <c:v>10511</c:v>
                </c:pt>
                <c:pt idx="3">
                  <c:v>10640</c:v>
                </c:pt>
              </c:numCache>
            </c:numRef>
          </c:val>
          <c:smooth val="0"/>
        </c:ser>
        <c:dLbls>
          <c:showLegendKey val="0"/>
          <c:showVal val="0"/>
          <c:showCatName val="0"/>
          <c:showSerName val="0"/>
          <c:showPercent val="0"/>
          <c:showBubbleSize val="0"/>
        </c:dLbls>
        <c:hiLowLines>
          <c:spPr>
            <a:ln>
              <a:noFill/>
            </a:ln>
          </c:spPr>
        </c:hiLowLines>
        <c:marker val="1"/>
        <c:smooth val="0"/>
        <c:axId val="205965824"/>
        <c:axId val="205814528"/>
      </c:lineChart>
      <c:catAx>
        <c:axId val="205965824"/>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5814528"/>
        <c:crosses val="autoZero"/>
        <c:auto val="1"/>
        <c:lblAlgn val="ctr"/>
        <c:lblOffset val="100"/>
        <c:noMultiLvlLbl val="1"/>
      </c:catAx>
      <c:valAx>
        <c:axId val="205814528"/>
        <c:scaling>
          <c:orientation val="minMax"/>
          <c:min val="10000"/>
        </c:scaling>
        <c:delete val="1"/>
        <c:axPos val="l"/>
        <c:numFmt formatCode="#,##0" sourceLinked="0"/>
        <c:majorTickMark val="none"/>
        <c:minorTickMark val="none"/>
        <c:tickLblPos val="nextTo"/>
        <c:crossAx val="205965824"/>
        <c:crosses val="autoZero"/>
        <c:crossBetween val="midCat"/>
      </c:valAx>
      <c:spPr>
        <a:noFill/>
        <a:ln>
          <a:noFill/>
        </a:ln>
      </c:spPr>
    </c:plotArea>
    <c:plotVisOnly val="1"/>
    <c:dispBlanksAs val="gap"/>
    <c:showDLblsOverMax val="1"/>
  </c:chart>
  <c:spPr>
    <a:noFill/>
    <a:ln w="9360">
      <a:noFill/>
    </a:ln>
  </c:spPr>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0</c:f>
              <c:numCache>
                <c:formatCode>General</c:formatCode>
                <c:ptCount val="5"/>
                <c:pt idx="0">
                  <c:v>3205</c:v>
                </c:pt>
                <c:pt idx="1">
                  <c:v>2313</c:v>
                </c:pt>
                <c:pt idx="2">
                  <c:v>1678</c:v>
                </c:pt>
                <c:pt idx="3">
                  <c:v>1565</c:v>
                </c:pt>
                <c:pt idx="4">
                  <c:v>1553</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1</c:f>
              <c:numCache>
                <c:formatCode>General</c:formatCode>
                <c:ptCount val="5"/>
                <c:pt idx="0">
                  <c:v>3216</c:v>
                </c:pt>
                <c:pt idx="1">
                  <c:v>2333</c:v>
                </c:pt>
                <c:pt idx="2">
                  <c:v>1692</c:v>
                </c:pt>
                <c:pt idx="3">
                  <c:v>1582</c:v>
                </c:pt>
                <c:pt idx="4">
                  <c:v>1601</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2</c:f>
              <c:numCache>
                <c:formatCode>General</c:formatCode>
                <c:ptCount val="5"/>
                <c:pt idx="0">
                  <c:v>3231</c:v>
                </c:pt>
                <c:pt idx="1">
                  <c:v>2359</c:v>
                </c:pt>
                <c:pt idx="2">
                  <c:v>1706</c:v>
                </c:pt>
                <c:pt idx="3">
                  <c:v>1606</c:v>
                </c:pt>
                <c:pt idx="4">
                  <c:v>1609</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3</c:f>
              <c:numCache>
                <c:formatCode>General</c:formatCode>
                <c:ptCount val="5"/>
                <c:pt idx="0">
                  <c:v>3242</c:v>
                </c:pt>
                <c:pt idx="1">
                  <c:v>2395</c:v>
                </c:pt>
                <c:pt idx="2">
                  <c:v>1748</c:v>
                </c:pt>
                <c:pt idx="3">
                  <c:v>1628</c:v>
                </c:pt>
                <c:pt idx="4">
                  <c:v>1627</c:v>
                </c:pt>
              </c:numCache>
            </c:numRef>
          </c:val>
        </c:ser>
        <c:dLbls>
          <c:showLegendKey val="0"/>
          <c:showVal val="0"/>
          <c:showCatName val="0"/>
          <c:showSerName val="0"/>
          <c:showPercent val="0"/>
          <c:showBubbleSize val="0"/>
        </c:dLbls>
        <c:gapWidth val="219"/>
        <c:overlap val="-27"/>
        <c:axId val="205966336"/>
        <c:axId val="204743232"/>
      </c:barChart>
      <c:catAx>
        <c:axId val="20596633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4743232"/>
        <c:crosses val="autoZero"/>
        <c:auto val="1"/>
        <c:lblAlgn val="ctr"/>
        <c:lblOffset val="100"/>
        <c:noMultiLvlLbl val="1"/>
      </c:catAx>
      <c:valAx>
        <c:axId val="20474323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5966336"/>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Cyców</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4"/>
                <c:pt idx="0">
                  <c:v>2015</c:v>
                </c:pt>
                <c:pt idx="1">
                  <c:v>2016</c:v>
                </c:pt>
                <c:pt idx="2">
                  <c:v>2017</c:v>
                </c:pt>
                <c:pt idx="3">
                  <c:v>2018</c:v>
                </c:pt>
              </c:strCache>
            </c:strRef>
          </c:cat>
          <c:val>
            <c:numRef>
              <c:f>0</c:f>
              <c:numCache>
                <c:formatCode>General</c:formatCode>
                <c:ptCount val="4"/>
                <c:pt idx="0">
                  <c:v>291.60000000000002</c:v>
                </c:pt>
                <c:pt idx="1">
                  <c:v>293.39999999999998</c:v>
                </c:pt>
                <c:pt idx="2">
                  <c:v>298.2</c:v>
                </c:pt>
                <c:pt idx="3">
                  <c:v>300.60000000000002</c:v>
                </c:pt>
              </c:numCache>
            </c:numRef>
          </c:val>
          <c:smooth val="0"/>
        </c:ser>
        <c:ser>
          <c:idx val="1"/>
          <c:order val="1"/>
          <c:tx>
            <c:strRef>
              <c:f>label 1</c:f>
              <c:strCache>
                <c:ptCount val="1"/>
                <c:pt idx="0">
                  <c:v>Ludwin</c:v>
                </c:pt>
              </c:strCache>
            </c:strRef>
          </c:tx>
          <c:spPr>
            <a:ln w="28440">
              <a:solidFill>
                <a:srgbClr val="ED7D31"/>
              </a:solidFill>
              <a:round/>
            </a:ln>
          </c:spPr>
          <c:marker>
            <c:symbol val="circle"/>
            <c:size val="5"/>
            <c:spPr>
              <a:solidFill>
                <a:srgbClr val="ED7D31"/>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4"/>
                <c:pt idx="0">
                  <c:v>2015</c:v>
                </c:pt>
                <c:pt idx="1">
                  <c:v>2016</c:v>
                </c:pt>
                <c:pt idx="2">
                  <c:v>2017</c:v>
                </c:pt>
                <c:pt idx="3">
                  <c:v>2018</c:v>
                </c:pt>
              </c:strCache>
            </c:strRef>
          </c:cat>
          <c:val>
            <c:numRef>
              <c:f>1</c:f>
              <c:numCache>
                <c:formatCode>General</c:formatCode>
                <c:ptCount val="4"/>
                <c:pt idx="0">
                  <c:v>287.5</c:v>
                </c:pt>
                <c:pt idx="1">
                  <c:v>287.60000000000002</c:v>
                </c:pt>
                <c:pt idx="2">
                  <c:v>287.60000000000002</c:v>
                </c:pt>
                <c:pt idx="3">
                  <c:v>291</c:v>
                </c:pt>
              </c:numCache>
            </c:numRef>
          </c:val>
          <c:smooth val="0"/>
        </c:ser>
        <c:ser>
          <c:idx val="2"/>
          <c:order val="2"/>
          <c:tx>
            <c:strRef>
              <c:f>label 2</c:f>
              <c:strCache>
                <c:ptCount val="1"/>
                <c:pt idx="0">
                  <c:v>Milejów</c:v>
                </c:pt>
              </c:strCache>
            </c:strRef>
          </c:tx>
          <c:spPr>
            <a:ln w="28440">
              <a:solidFill>
                <a:srgbClr val="A5A5A5"/>
              </a:solidFill>
              <a:round/>
            </a:ln>
          </c:spPr>
          <c:marker>
            <c:symbol val="circle"/>
            <c:size val="5"/>
            <c:spPr>
              <a:solidFill>
                <a:srgbClr val="A5A5A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4"/>
                <c:pt idx="0">
                  <c:v>2015</c:v>
                </c:pt>
                <c:pt idx="1">
                  <c:v>2016</c:v>
                </c:pt>
                <c:pt idx="2">
                  <c:v>2017</c:v>
                </c:pt>
                <c:pt idx="3">
                  <c:v>2018</c:v>
                </c:pt>
              </c:strCache>
            </c:strRef>
          </c:cat>
          <c:val>
            <c:numRef>
              <c:f>2</c:f>
              <c:numCache>
                <c:formatCode>General</c:formatCode>
                <c:ptCount val="4"/>
                <c:pt idx="0">
                  <c:v>346</c:v>
                </c:pt>
                <c:pt idx="1">
                  <c:v>349.3</c:v>
                </c:pt>
                <c:pt idx="2">
                  <c:v>351.6</c:v>
                </c:pt>
                <c:pt idx="3">
                  <c:v>356</c:v>
                </c:pt>
              </c:numCache>
            </c:numRef>
          </c:val>
          <c:smooth val="0"/>
        </c:ser>
        <c:ser>
          <c:idx val="3"/>
          <c:order val="3"/>
          <c:tx>
            <c:strRef>
              <c:f>label 3</c:f>
              <c:strCache>
                <c:ptCount val="1"/>
                <c:pt idx="0">
                  <c:v>Puchaczów</c:v>
                </c:pt>
              </c:strCache>
            </c:strRef>
          </c:tx>
          <c:spPr>
            <a:ln w="28440">
              <a:solidFill>
                <a:srgbClr val="FFC000"/>
              </a:solidFill>
              <a:round/>
            </a:ln>
          </c:spPr>
          <c:marker>
            <c:symbol val="circle"/>
            <c:size val="5"/>
            <c:spPr>
              <a:solidFill>
                <a:srgbClr val="FFC000"/>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4"/>
                <c:pt idx="0">
                  <c:v>2015</c:v>
                </c:pt>
                <c:pt idx="1">
                  <c:v>2016</c:v>
                </c:pt>
                <c:pt idx="2">
                  <c:v>2017</c:v>
                </c:pt>
                <c:pt idx="3">
                  <c:v>2018</c:v>
                </c:pt>
              </c:strCache>
            </c:strRef>
          </c:cat>
          <c:val>
            <c:numRef>
              <c:f>3</c:f>
              <c:numCache>
                <c:formatCode>General</c:formatCode>
                <c:ptCount val="4"/>
                <c:pt idx="0">
                  <c:v>304.39999999999998</c:v>
                </c:pt>
                <c:pt idx="1">
                  <c:v>304.39999999999998</c:v>
                </c:pt>
                <c:pt idx="2">
                  <c:v>303.8</c:v>
                </c:pt>
                <c:pt idx="3">
                  <c:v>307.5</c:v>
                </c:pt>
              </c:numCache>
            </c:numRef>
          </c:val>
          <c:smooth val="0"/>
        </c:ser>
        <c:ser>
          <c:idx val="4"/>
          <c:order val="4"/>
          <c:tx>
            <c:strRef>
              <c:f>label 4</c:f>
              <c:strCache>
                <c:ptCount val="1"/>
                <c:pt idx="0">
                  <c:v>Urszulin</c:v>
                </c:pt>
              </c:strCache>
            </c:strRef>
          </c:tx>
          <c:spPr>
            <a:ln w="28440">
              <a:solidFill>
                <a:srgbClr val="4472C4"/>
              </a:solidFill>
              <a:round/>
            </a:ln>
          </c:spPr>
          <c:marker>
            <c:symbol val="circle"/>
            <c:size val="5"/>
            <c:spPr>
              <a:solidFill>
                <a:srgbClr val="4472C4"/>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4"/>
                <c:pt idx="0">
                  <c:v>2015</c:v>
                </c:pt>
                <c:pt idx="1">
                  <c:v>2016</c:v>
                </c:pt>
                <c:pt idx="2">
                  <c:v>2017</c:v>
                </c:pt>
                <c:pt idx="3">
                  <c:v>2018</c:v>
                </c:pt>
              </c:strCache>
            </c:strRef>
          </c:cat>
          <c:val>
            <c:numRef>
              <c:f>4</c:f>
              <c:numCache>
                <c:formatCode>General</c:formatCode>
                <c:ptCount val="4"/>
                <c:pt idx="0">
                  <c:v>377</c:v>
                </c:pt>
                <c:pt idx="1">
                  <c:v>386.6</c:v>
                </c:pt>
                <c:pt idx="2">
                  <c:v>389.1</c:v>
                </c:pt>
                <c:pt idx="3">
                  <c:v>389.3</c:v>
                </c:pt>
              </c:numCache>
            </c:numRef>
          </c:val>
          <c:smooth val="0"/>
        </c:ser>
        <c:dLbls>
          <c:showLegendKey val="0"/>
          <c:showVal val="0"/>
          <c:showCatName val="0"/>
          <c:showSerName val="0"/>
          <c:showPercent val="0"/>
          <c:showBubbleSize val="0"/>
        </c:dLbls>
        <c:hiLowLines>
          <c:spPr>
            <a:ln>
              <a:noFill/>
            </a:ln>
          </c:spPr>
        </c:hiLowLines>
        <c:marker val="1"/>
        <c:smooth val="0"/>
        <c:axId val="206811648"/>
        <c:axId val="204744960"/>
      </c:lineChart>
      <c:catAx>
        <c:axId val="20681164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4744960"/>
        <c:crosses val="autoZero"/>
        <c:auto val="1"/>
        <c:lblAlgn val="ctr"/>
        <c:lblOffset val="100"/>
        <c:noMultiLvlLbl val="1"/>
      </c:catAx>
      <c:valAx>
        <c:axId val="204744960"/>
        <c:scaling>
          <c:orientation val="minMax"/>
          <c:min val="250"/>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811648"/>
        <c:crosses val="autoZero"/>
        <c:crossBetween val="midCat"/>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mieszkania</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165</c:v>
                </c:pt>
                <c:pt idx="1">
                  <c:v>155</c:v>
                </c:pt>
                <c:pt idx="2">
                  <c:v>135</c:v>
                </c:pt>
                <c:pt idx="3">
                  <c:v>162</c:v>
                </c:pt>
                <c:pt idx="4">
                  <c:v>121</c:v>
                </c:pt>
              </c:numCache>
            </c:numRef>
          </c:val>
        </c:ser>
        <c:dLbls>
          <c:showLegendKey val="0"/>
          <c:showVal val="0"/>
          <c:showCatName val="0"/>
          <c:showSerName val="0"/>
          <c:showPercent val="0"/>
          <c:showBubbleSize val="0"/>
        </c:dLbls>
        <c:gapWidth val="219"/>
        <c:overlap val="-27"/>
        <c:axId val="206812672"/>
        <c:axId val="204746688"/>
      </c:barChart>
      <c:lineChart>
        <c:grouping val="standard"/>
        <c:varyColors val="0"/>
        <c:ser>
          <c:idx val="1"/>
          <c:order val="1"/>
          <c:tx>
            <c:strRef>
              <c:f>label 1</c:f>
              <c:strCache>
                <c:ptCount val="1"/>
                <c:pt idx="0">
                  <c:v>powierzchnia użytkowa mieszkań</c:v>
                </c:pt>
              </c:strCache>
            </c:strRef>
          </c:tx>
          <c:spPr>
            <a:ln w="28440">
              <a:solidFill>
                <a:srgbClr val="ED7D31"/>
              </a:solidFill>
              <a:round/>
            </a:ln>
          </c:spPr>
          <c:marker>
            <c:symbol val="circle"/>
            <c:size val="5"/>
            <c:spPr>
              <a:solidFill>
                <a:srgbClr val="ED7D31"/>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21553</c:v>
                </c:pt>
                <c:pt idx="1">
                  <c:v>18314</c:v>
                </c:pt>
                <c:pt idx="2">
                  <c:v>17323</c:v>
                </c:pt>
                <c:pt idx="3">
                  <c:v>17908</c:v>
                </c:pt>
                <c:pt idx="4">
                  <c:v>14949</c:v>
                </c:pt>
              </c:numCache>
            </c:numRef>
          </c:val>
          <c:smooth val="0"/>
        </c:ser>
        <c:dLbls>
          <c:showLegendKey val="0"/>
          <c:showVal val="0"/>
          <c:showCatName val="0"/>
          <c:showSerName val="0"/>
          <c:showPercent val="0"/>
          <c:showBubbleSize val="0"/>
        </c:dLbls>
        <c:hiLowLines>
          <c:spPr>
            <a:ln>
              <a:noFill/>
            </a:ln>
          </c:spPr>
        </c:hiLowLines>
        <c:marker val="1"/>
        <c:smooth val="0"/>
        <c:axId val="206813696"/>
        <c:axId val="204747264"/>
      </c:lineChart>
      <c:catAx>
        <c:axId val="206812672"/>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4746688"/>
        <c:crosses val="autoZero"/>
        <c:auto val="1"/>
        <c:lblAlgn val="ctr"/>
        <c:lblOffset val="100"/>
        <c:noMultiLvlLbl val="1"/>
      </c:catAx>
      <c:valAx>
        <c:axId val="20474668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FFFFFF"/>
                </a:solidFill>
                <a:latin typeface="Calibri"/>
              </a:defRPr>
            </a:pPr>
            <a:endParaRPr lang="pl-PL"/>
          </a:p>
        </c:txPr>
        <c:crossAx val="206812672"/>
        <c:crosses val="autoZero"/>
        <c:crossBetween val="between"/>
      </c:valAx>
      <c:catAx>
        <c:axId val="206813696"/>
        <c:scaling>
          <c:orientation val="minMax"/>
        </c:scaling>
        <c:delete val="1"/>
        <c:axPos val="b"/>
        <c:numFmt formatCode="[$-415]d\/mm\/\Y\Y\Y\Y" sourceLinked="1"/>
        <c:majorTickMark val="out"/>
        <c:minorTickMark val="none"/>
        <c:tickLblPos val="nextTo"/>
        <c:crossAx val="204747264"/>
        <c:crosses val="autoZero"/>
        <c:auto val="1"/>
        <c:lblAlgn val="ctr"/>
        <c:lblOffset val="100"/>
        <c:noMultiLvlLbl val="1"/>
      </c:catAx>
      <c:valAx>
        <c:axId val="204747264"/>
        <c:scaling>
          <c:orientation val="minMax"/>
        </c:scaling>
        <c:delete val="0"/>
        <c:axPos val="r"/>
        <c:numFmt formatCode="General" sourceLinked="0"/>
        <c:majorTickMark val="out"/>
        <c:minorTickMark val="none"/>
        <c:tickLblPos val="nextTo"/>
        <c:spPr>
          <a:ln w="6480">
            <a:noFill/>
          </a:ln>
        </c:spPr>
        <c:txPr>
          <a:bodyPr/>
          <a:lstStyle/>
          <a:p>
            <a:pPr>
              <a:defRPr sz="900" b="0" strike="noStrike" spc="-1">
                <a:solidFill>
                  <a:srgbClr val="FFFFFF"/>
                </a:solidFill>
                <a:latin typeface="Calibri"/>
              </a:defRPr>
            </a:pPr>
            <a:endParaRPr lang="pl-PL"/>
          </a:p>
        </c:txPr>
        <c:crossAx val="206813696"/>
        <c:crosses val="max"/>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Puchaczów</c:v>
                </c:pt>
                <c:pt idx="1">
                  <c:v>Urszulin</c:v>
                </c:pt>
                <c:pt idx="2">
                  <c:v>Cyców</c:v>
                </c:pt>
                <c:pt idx="3">
                  <c:v>Ludwin</c:v>
                </c:pt>
                <c:pt idx="4">
                  <c:v>Milejów</c:v>
                </c:pt>
              </c:strCache>
            </c:strRef>
          </c:cat>
          <c:val>
            <c:numRef>
              <c:f>0</c:f>
              <c:numCache>
                <c:formatCode>General</c:formatCode>
                <c:ptCount val="5"/>
                <c:pt idx="0">
                  <c:v>46</c:v>
                </c:pt>
                <c:pt idx="1">
                  <c:v>22</c:v>
                </c:pt>
                <c:pt idx="2">
                  <c:v>32</c:v>
                </c:pt>
                <c:pt idx="3">
                  <c:v>39</c:v>
                </c:pt>
                <c:pt idx="4">
                  <c:v>26</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Puchaczów</c:v>
                </c:pt>
                <c:pt idx="1">
                  <c:v>Urszulin</c:v>
                </c:pt>
                <c:pt idx="2">
                  <c:v>Cyców</c:v>
                </c:pt>
                <c:pt idx="3">
                  <c:v>Ludwin</c:v>
                </c:pt>
                <c:pt idx="4">
                  <c:v>Milejów</c:v>
                </c:pt>
              </c:strCache>
            </c:strRef>
          </c:cat>
          <c:val>
            <c:numRef>
              <c:f>1</c:f>
              <c:numCache>
                <c:formatCode>General</c:formatCode>
                <c:ptCount val="5"/>
                <c:pt idx="0">
                  <c:v>33</c:v>
                </c:pt>
                <c:pt idx="1">
                  <c:v>52</c:v>
                </c:pt>
                <c:pt idx="2">
                  <c:v>24</c:v>
                </c:pt>
                <c:pt idx="3">
                  <c:v>22</c:v>
                </c:pt>
                <c:pt idx="4">
                  <c:v>24</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Puchaczów</c:v>
                </c:pt>
                <c:pt idx="1">
                  <c:v>Urszulin</c:v>
                </c:pt>
                <c:pt idx="2">
                  <c:v>Cyców</c:v>
                </c:pt>
                <c:pt idx="3">
                  <c:v>Ludwin</c:v>
                </c:pt>
                <c:pt idx="4">
                  <c:v>Milejów</c:v>
                </c:pt>
              </c:strCache>
            </c:strRef>
          </c:cat>
          <c:val>
            <c:numRef>
              <c:f>2</c:f>
              <c:numCache>
                <c:formatCode>General</c:formatCode>
                <c:ptCount val="5"/>
                <c:pt idx="0">
                  <c:v>41</c:v>
                </c:pt>
                <c:pt idx="1">
                  <c:v>8</c:v>
                </c:pt>
                <c:pt idx="2">
                  <c:v>29</c:v>
                </c:pt>
                <c:pt idx="3">
                  <c:v>37</c:v>
                </c:pt>
                <c:pt idx="4">
                  <c:v>20</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Puchaczów</c:v>
                </c:pt>
                <c:pt idx="1">
                  <c:v>Urszulin</c:v>
                </c:pt>
                <c:pt idx="2">
                  <c:v>Cyców</c:v>
                </c:pt>
                <c:pt idx="3">
                  <c:v>Ludwin</c:v>
                </c:pt>
                <c:pt idx="4">
                  <c:v>Milejów</c:v>
                </c:pt>
              </c:strCache>
            </c:strRef>
          </c:cat>
          <c:val>
            <c:numRef>
              <c:f>3</c:f>
              <c:numCache>
                <c:formatCode>General</c:formatCode>
                <c:ptCount val="5"/>
                <c:pt idx="0">
                  <c:v>51</c:v>
                </c:pt>
                <c:pt idx="1">
                  <c:v>23</c:v>
                </c:pt>
                <c:pt idx="2">
                  <c:v>42</c:v>
                </c:pt>
                <c:pt idx="3">
                  <c:v>31</c:v>
                </c:pt>
                <c:pt idx="4">
                  <c:v>15</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Puchaczów</c:v>
                </c:pt>
                <c:pt idx="1">
                  <c:v>Urszulin</c:v>
                </c:pt>
                <c:pt idx="2">
                  <c:v>Cyców</c:v>
                </c:pt>
                <c:pt idx="3">
                  <c:v>Ludwin</c:v>
                </c:pt>
                <c:pt idx="4">
                  <c:v>Milejów</c:v>
                </c:pt>
              </c:strCache>
            </c:strRef>
          </c:cat>
          <c:val>
            <c:numRef>
              <c:f>4</c:f>
              <c:numCache>
                <c:formatCode>General</c:formatCode>
                <c:ptCount val="5"/>
                <c:pt idx="0">
                  <c:v>19</c:v>
                </c:pt>
                <c:pt idx="1">
                  <c:v>21</c:v>
                </c:pt>
                <c:pt idx="2">
                  <c:v>25</c:v>
                </c:pt>
                <c:pt idx="3">
                  <c:v>28</c:v>
                </c:pt>
                <c:pt idx="4">
                  <c:v>28</c:v>
                </c:pt>
              </c:numCache>
            </c:numRef>
          </c:val>
        </c:ser>
        <c:dLbls>
          <c:showLegendKey val="0"/>
          <c:showVal val="0"/>
          <c:showCatName val="0"/>
          <c:showSerName val="0"/>
          <c:showPercent val="0"/>
          <c:showBubbleSize val="0"/>
        </c:dLbls>
        <c:gapWidth val="219"/>
        <c:overlap val="-27"/>
        <c:axId val="206643712"/>
        <c:axId val="204748992"/>
      </c:barChart>
      <c:catAx>
        <c:axId val="206643712"/>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4748992"/>
        <c:crosses val="autoZero"/>
        <c:auto val="1"/>
        <c:lblAlgn val="ctr"/>
        <c:lblOffset val="100"/>
        <c:noMultiLvlLbl val="1"/>
      </c:catAx>
      <c:valAx>
        <c:axId val="20474899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643712"/>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sieć wodociągowa</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107.575</c:v>
                </c:pt>
                <c:pt idx="1">
                  <c:v>107.75</c:v>
                </c:pt>
                <c:pt idx="2">
                  <c:v>108.9</c:v>
                </c:pt>
                <c:pt idx="3">
                  <c:v>109.175</c:v>
                </c:pt>
                <c:pt idx="4">
                  <c:v>109.55</c:v>
                </c:pt>
              </c:numCache>
            </c:numRef>
          </c:val>
          <c:smooth val="0"/>
        </c:ser>
        <c:ser>
          <c:idx val="1"/>
          <c:order val="1"/>
          <c:tx>
            <c:strRef>
              <c:f>label 1</c:f>
              <c:strCache>
                <c:ptCount val="1"/>
                <c:pt idx="0">
                  <c:v>sieć kanalizacyjna</c:v>
                </c:pt>
              </c:strCache>
            </c:strRef>
          </c:tx>
          <c:spPr>
            <a:ln w="28440">
              <a:solidFill>
                <a:srgbClr val="ED7D31"/>
              </a:solidFill>
              <a:round/>
            </a:ln>
          </c:spPr>
          <c:marker>
            <c:symbol val="circle"/>
            <c:size val="5"/>
            <c:spPr>
              <a:solidFill>
                <a:srgbClr val="ED7D31"/>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34.075000000000003</c:v>
                </c:pt>
                <c:pt idx="1">
                  <c:v>50.875</c:v>
                </c:pt>
                <c:pt idx="2">
                  <c:v>34.65</c:v>
                </c:pt>
                <c:pt idx="3">
                  <c:v>35.299999999999997</c:v>
                </c:pt>
                <c:pt idx="4">
                  <c:v>35.325000000000003</c:v>
                </c:pt>
              </c:numCache>
            </c:numRef>
          </c:val>
          <c:smooth val="0"/>
        </c:ser>
        <c:ser>
          <c:idx val="2"/>
          <c:order val="2"/>
          <c:tx>
            <c:strRef>
              <c:f>label 2</c:f>
              <c:strCache>
                <c:ptCount val="1"/>
                <c:pt idx="0">
                  <c:v>sieć gazowa</c:v>
                </c:pt>
              </c:strCache>
            </c:strRef>
          </c:tx>
          <c:spPr>
            <a:ln w="28440">
              <a:solidFill>
                <a:srgbClr val="A5A5A5"/>
              </a:solidFill>
              <a:round/>
            </a:ln>
          </c:spPr>
          <c:marker>
            <c:symbol val="circle"/>
            <c:size val="5"/>
            <c:spPr>
              <a:solidFill>
                <a:srgbClr val="A5A5A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18.824999999999999</c:v>
                </c:pt>
                <c:pt idx="1">
                  <c:v>18.975000000000001</c:v>
                </c:pt>
                <c:pt idx="2">
                  <c:v>20.05</c:v>
                </c:pt>
                <c:pt idx="3">
                  <c:v>20.100000000000001</c:v>
                </c:pt>
                <c:pt idx="4">
                  <c:v>20.225000000000001</c:v>
                </c:pt>
              </c:numCache>
            </c:numRef>
          </c:val>
          <c:smooth val="0"/>
        </c:ser>
        <c:dLbls>
          <c:showLegendKey val="0"/>
          <c:showVal val="0"/>
          <c:showCatName val="0"/>
          <c:showSerName val="0"/>
          <c:showPercent val="0"/>
          <c:showBubbleSize val="0"/>
        </c:dLbls>
        <c:hiLowLines>
          <c:spPr>
            <a:ln>
              <a:noFill/>
            </a:ln>
          </c:spPr>
        </c:hiLowLines>
        <c:marker val="1"/>
        <c:smooth val="0"/>
        <c:axId val="206644736"/>
        <c:axId val="206561280"/>
      </c:lineChart>
      <c:catAx>
        <c:axId val="20664473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6561280"/>
        <c:crosses val="autoZero"/>
        <c:auto val="1"/>
        <c:lblAlgn val="ctr"/>
        <c:lblOffset val="100"/>
        <c:noMultiLvlLbl val="1"/>
      </c:catAx>
      <c:valAx>
        <c:axId val="206561280"/>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644736"/>
        <c:crosses val="autoZero"/>
        <c:crossBetween val="midCat"/>
      </c:valAx>
      <c:dTable>
        <c:showHorzBorder val="1"/>
        <c:showVertBorder val="1"/>
        <c:showOutline val="1"/>
        <c:showKeys val="1"/>
      </c:dTable>
      <c:spPr>
        <a:noFill/>
        <a:ln>
          <a:noFill/>
        </a:ln>
      </c:spPr>
    </c:plotArea>
    <c:plotVisOnly val="1"/>
    <c:dispBlanksAs val="zero"/>
    <c:showDLblsOverMax val="1"/>
  </c:chart>
  <c:spPr>
    <a:noFill/>
    <a:ln w="9360">
      <a:noFill/>
    </a:ln>
  </c:spPr>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0</c:f>
              <c:numCache>
                <c:formatCode>General</c:formatCode>
                <c:ptCount val="5"/>
                <c:pt idx="0">
                  <c:v>161.30000000000001</c:v>
                </c:pt>
                <c:pt idx="1">
                  <c:v>144.80000000000001</c:v>
                </c:pt>
                <c:pt idx="2">
                  <c:v>113.4</c:v>
                </c:pt>
                <c:pt idx="3">
                  <c:v>104.1</c:v>
                </c:pt>
                <c:pt idx="4">
                  <c:v>68</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1</c:f>
              <c:numCache>
                <c:formatCode>General</c:formatCode>
                <c:ptCount val="5"/>
                <c:pt idx="0">
                  <c:v>161.30000000000001</c:v>
                </c:pt>
                <c:pt idx="1">
                  <c:v>144.80000000000001</c:v>
                </c:pt>
                <c:pt idx="2">
                  <c:v>113.4</c:v>
                </c:pt>
                <c:pt idx="3">
                  <c:v>104.8</c:v>
                </c:pt>
                <c:pt idx="4">
                  <c:v>68</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2</c:f>
              <c:numCache>
                <c:formatCode>General</c:formatCode>
                <c:ptCount val="5"/>
                <c:pt idx="0">
                  <c:v>161.30000000000001</c:v>
                </c:pt>
                <c:pt idx="1">
                  <c:v>146.5</c:v>
                </c:pt>
                <c:pt idx="2">
                  <c:v>114</c:v>
                </c:pt>
                <c:pt idx="3">
                  <c:v>104.8</c:v>
                </c:pt>
                <c:pt idx="4">
                  <c:v>70.3</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3</c:f>
              <c:numCache>
                <c:formatCode>General</c:formatCode>
                <c:ptCount val="5"/>
                <c:pt idx="0">
                  <c:v>161.30000000000001</c:v>
                </c:pt>
                <c:pt idx="1">
                  <c:v>146.5</c:v>
                </c:pt>
                <c:pt idx="2">
                  <c:v>114</c:v>
                </c:pt>
                <c:pt idx="3">
                  <c:v>105.9</c:v>
                </c:pt>
                <c:pt idx="4">
                  <c:v>70.3</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4</c:f>
              <c:numCache>
                <c:formatCode>General</c:formatCode>
                <c:ptCount val="5"/>
                <c:pt idx="0">
                  <c:v>161.30000000000001</c:v>
                </c:pt>
                <c:pt idx="1">
                  <c:v>146.5</c:v>
                </c:pt>
                <c:pt idx="2">
                  <c:v>114</c:v>
                </c:pt>
                <c:pt idx="3">
                  <c:v>107.4</c:v>
                </c:pt>
                <c:pt idx="4">
                  <c:v>70.3</c:v>
                </c:pt>
              </c:numCache>
            </c:numRef>
          </c:val>
        </c:ser>
        <c:dLbls>
          <c:showLegendKey val="0"/>
          <c:showVal val="0"/>
          <c:showCatName val="0"/>
          <c:showSerName val="0"/>
          <c:showPercent val="0"/>
          <c:showBubbleSize val="0"/>
        </c:dLbls>
        <c:gapWidth val="219"/>
        <c:overlap val="-27"/>
        <c:axId val="206814720"/>
        <c:axId val="206563008"/>
      </c:barChart>
      <c:catAx>
        <c:axId val="20681472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6563008"/>
        <c:crosses val="autoZero"/>
        <c:auto val="1"/>
        <c:lblAlgn val="ctr"/>
        <c:lblOffset val="100"/>
        <c:noMultiLvlLbl val="1"/>
      </c:catAx>
      <c:valAx>
        <c:axId val="206563008"/>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814720"/>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0</c:f>
              <c:numCache>
                <c:formatCode>General</c:formatCode>
                <c:ptCount val="5"/>
                <c:pt idx="0">
                  <c:v>6.3</c:v>
                </c:pt>
                <c:pt idx="1">
                  <c:v>13.8</c:v>
                </c:pt>
                <c:pt idx="2">
                  <c:v>27.2</c:v>
                </c:pt>
                <c:pt idx="3">
                  <c:v>65.400000000000006</c:v>
                </c:pt>
                <c:pt idx="4">
                  <c:v>29.9</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1</c:f>
              <c:numCache>
                <c:formatCode>General</c:formatCode>
                <c:ptCount val="5"/>
                <c:pt idx="0">
                  <c:v>6.3</c:v>
                </c:pt>
                <c:pt idx="1">
                  <c:v>13.8</c:v>
                </c:pt>
                <c:pt idx="2">
                  <c:v>27.2</c:v>
                </c:pt>
                <c:pt idx="3">
                  <c:v>132.6</c:v>
                </c:pt>
                <c:pt idx="4">
                  <c:v>29.9</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2</c:f>
              <c:numCache>
                <c:formatCode>General</c:formatCode>
                <c:ptCount val="5"/>
                <c:pt idx="0">
                  <c:v>6.3</c:v>
                </c:pt>
                <c:pt idx="1">
                  <c:v>13.8</c:v>
                </c:pt>
                <c:pt idx="2">
                  <c:v>27.2</c:v>
                </c:pt>
                <c:pt idx="3">
                  <c:v>66.099999999999994</c:v>
                </c:pt>
                <c:pt idx="4">
                  <c:v>31.5</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3</c:f>
              <c:numCache>
                <c:formatCode>General</c:formatCode>
                <c:ptCount val="5"/>
                <c:pt idx="0">
                  <c:v>6.3</c:v>
                </c:pt>
                <c:pt idx="1">
                  <c:v>13.8</c:v>
                </c:pt>
                <c:pt idx="2">
                  <c:v>27.2</c:v>
                </c:pt>
                <c:pt idx="3">
                  <c:v>66.400000000000006</c:v>
                </c:pt>
                <c:pt idx="4">
                  <c:v>33.799999999999997</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4</c:f>
              <c:numCache>
                <c:formatCode>General</c:formatCode>
                <c:ptCount val="5"/>
                <c:pt idx="0">
                  <c:v>6.3</c:v>
                </c:pt>
                <c:pt idx="1">
                  <c:v>13.8</c:v>
                </c:pt>
                <c:pt idx="2">
                  <c:v>27.2</c:v>
                </c:pt>
                <c:pt idx="3">
                  <c:v>66.5</c:v>
                </c:pt>
                <c:pt idx="4">
                  <c:v>33.799999999999997</c:v>
                </c:pt>
              </c:numCache>
            </c:numRef>
          </c:val>
        </c:ser>
        <c:dLbls>
          <c:showLegendKey val="0"/>
          <c:showVal val="0"/>
          <c:showCatName val="0"/>
          <c:showSerName val="0"/>
          <c:showPercent val="0"/>
          <c:showBubbleSize val="0"/>
        </c:dLbls>
        <c:gapWidth val="219"/>
        <c:overlap val="-27"/>
        <c:axId val="206979584"/>
        <c:axId val="206564736"/>
      </c:barChart>
      <c:catAx>
        <c:axId val="206979584"/>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6564736"/>
        <c:crosses val="autoZero"/>
        <c:auto val="1"/>
        <c:lblAlgn val="ctr"/>
        <c:lblOffset val="100"/>
        <c:noMultiLvlLbl val="1"/>
      </c:catAx>
      <c:valAx>
        <c:axId val="206564736"/>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979584"/>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użytki rolne razem</c:v>
                </c:pt>
              </c:strCache>
            </c:strRef>
          </c:tx>
          <c:spPr>
            <a:solidFill>
              <a:srgbClr val="ED7D31"/>
            </a:solidFill>
            <a:ln>
              <a:noFill/>
            </a:ln>
          </c:spPr>
          <c:invertIfNegative val="0"/>
          <c:dLbls>
            <c:txPr>
              <a:bodyPr/>
              <a:lstStyle/>
              <a:p>
                <a:pPr>
                  <a:defRPr sz="8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0</c:f>
              <c:numCache>
                <c:formatCode>General</c:formatCode>
                <c:ptCount val="5"/>
                <c:pt idx="0">
                  <c:v>11462</c:v>
                </c:pt>
                <c:pt idx="1">
                  <c:v>8508</c:v>
                </c:pt>
                <c:pt idx="2">
                  <c:v>8450</c:v>
                </c:pt>
                <c:pt idx="3">
                  <c:v>7048</c:v>
                </c:pt>
                <c:pt idx="4">
                  <c:v>9319</c:v>
                </c:pt>
              </c:numCache>
            </c:numRef>
          </c:val>
        </c:ser>
        <c:ser>
          <c:idx val="1"/>
          <c:order val="1"/>
          <c:tx>
            <c:strRef>
              <c:f>label 1</c:f>
              <c:strCache>
                <c:ptCount val="1"/>
                <c:pt idx="0">
                  <c:v>grunty leśne oraz zadrzewione i zakrzewione razem</c:v>
                </c:pt>
              </c:strCache>
            </c:strRef>
          </c:tx>
          <c:spPr>
            <a:solidFill>
              <a:srgbClr val="A5A5A5"/>
            </a:solidFill>
            <a:ln>
              <a:noFill/>
            </a:ln>
          </c:spPr>
          <c:invertIfNegative val="0"/>
          <c:dLbls>
            <c:txPr>
              <a:bodyPr/>
              <a:lstStyle/>
              <a:p>
                <a:pPr>
                  <a:defRPr sz="8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1</c:f>
              <c:numCache>
                <c:formatCode>General</c:formatCode>
                <c:ptCount val="5"/>
                <c:pt idx="0">
                  <c:v>2209</c:v>
                </c:pt>
                <c:pt idx="1">
                  <c:v>1953</c:v>
                </c:pt>
                <c:pt idx="2">
                  <c:v>2211</c:v>
                </c:pt>
                <c:pt idx="3">
                  <c:v>1129</c:v>
                </c:pt>
                <c:pt idx="4">
                  <c:v>5404</c:v>
                </c:pt>
              </c:numCache>
            </c:numRef>
          </c:val>
        </c:ser>
        <c:ser>
          <c:idx val="2"/>
          <c:order val="2"/>
          <c:tx>
            <c:strRef>
              <c:f>label 2</c:f>
              <c:strCache>
                <c:ptCount val="1"/>
                <c:pt idx="0">
                  <c:v>grunty pod wodami razem</c:v>
                </c:pt>
              </c:strCache>
            </c:strRef>
          </c:tx>
          <c:spPr>
            <a:solidFill>
              <a:srgbClr val="FFC000"/>
            </a:solidFill>
            <a:ln>
              <a:noFill/>
            </a:ln>
          </c:spPr>
          <c:invertIfNegative val="0"/>
          <c:dLbls>
            <c:txPr>
              <a:bodyPr/>
              <a:lstStyle/>
              <a:p>
                <a:pPr>
                  <a:defRPr sz="8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2</c:f>
              <c:numCache>
                <c:formatCode>General</c:formatCode>
                <c:ptCount val="5"/>
                <c:pt idx="0">
                  <c:v>240</c:v>
                </c:pt>
                <c:pt idx="1">
                  <c:v>84</c:v>
                </c:pt>
                <c:pt idx="2">
                  <c:v>102</c:v>
                </c:pt>
                <c:pt idx="3">
                  <c:v>197</c:v>
                </c:pt>
                <c:pt idx="4">
                  <c:v>1024</c:v>
                </c:pt>
              </c:numCache>
            </c:numRef>
          </c:val>
        </c:ser>
        <c:ser>
          <c:idx val="3"/>
          <c:order val="3"/>
          <c:tx>
            <c:strRef>
              <c:f>label 3</c:f>
              <c:strCache>
                <c:ptCount val="1"/>
                <c:pt idx="0">
                  <c:v>grunty zabudowane i zurbanizowane razem</c:v>
                </c:pt>
              </c:strCache>
            </c:strRef>
          </c:tx>
          <c:spPr>
            <a:solidFill>
              <a:srgbClr val="4472C4"/>
            </a:solidFill>
            <a:ln>
              <a:noFill/>
            </a:ln>
          </c:spPr>
          <c:invertIfNegative val="0"/>
          <c:dLbls>
            <c:txPr>
              <a:bodyPr/>
              <a:lstStyle/>
              <a:p>
                <a:pPr>
                  <a:defRPr sz="8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3</c:f>
              <c:numCache>
                <c:formatCode>General</c:formatCode>
                <c:ptCount val="5"/>
                <c:pt idx="0">
                  <c:v>513</c:v>
                </c:pt>
                <c:pt idx="1">
                  <c:v>508</c:v>
                </c:pt>
                <c:pt idx="2">
                  <c:v>472</c:v>
                </c:pt>
                <c:pt idx="3">
                  <c:v>538</c:v>
                </c:pt>
                <c:pt idx="4">
                  <c:v>584</c:v>
                </c:pt>
              </c:numCache>
            </c:numRef>
          </c:val>
        </c:ser>
        <c:ser>
          <c:idx val="4"/>
          <c:order val="4"/>
          <c:tx>
            <c:strRef>
              <c:f>label 4</c:f>
              <c:strCache>
                <c:ptCount val="1"/>
                <c:pt idx="0">
                  <c:v>użytki ekologiczne</c:v>
                </c:pt>
              </c:strCache>
            </c:strRef>
          </c:tx>
          <c:spPr>
            <a:solidFill>
              <a:srgbClr val="70AD47"/>
            </a:solidFill>
            <a:ln>
              <a:noFill/>
            </a:ln>
          </c:spPr>
          <c:invertIfNegative val="0"/>
          <c:dLbls>
            <c:txPr>
              <a:bodyPr/>
              <a:lstStyle/>
              <a:p>
                <a:pPr>
                  <a:defRPr sz="8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4</c:f>
              <c:numCache>
                <c:formatCode>General</c:formatCode>
                <c:ptCount val="5"/>
                <c:pt idx="0">
                  <c:v>85</c:v>
                </c:pt>
                <c:pt idx="1">
                  <c:v>870</c:v>
                </c:pt>
                <c:pt idx="2">
                  <c:v>0</c:v>
                </c:pt>
                <c:pt idx="3">
                  <c:v>0</c:v>
                </c:pt>
                <c:pt idx="4">
                  <c:v>0</c:v>
                </c:pt>
              </c:numCache>
            </c:numRef>
          </c:val>
        </c:ser>
        <c:ser>
          <c:idx val="5"/>
          <c:order val="5"/>
          <c:tx>
            <c:strRef>
              <c:f>label 5</c:f>
              <c:strCache>
                <c:ptCount val="1"/>
                <c:pt idx="0">
                  <c:v>grunty rolne - nieużytki</c:v>
                </c:pt>
              </c:strCache>
            </c:strRef>
          </c:tx>
          <c:spPr>
            <a:solidFill>
              <a:srgbClr val="255E91"/>
            </a:solidFill>
            <a:ln>
              <a:noFill/>
            </a:ln>
          </c:spPr>
          <c:invertIfNegative val="0"/>
          <c:dLbls>
            <c:txPr>
              <a:bodyPr/>
              <a:lstStyle/>
              <a:p>
                <a:pPr>
                  <a:defRPr sz="8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5</c:f>
              <c:numCache>
                <c:formatCode>General</c:formatCode>
                <c:ptCount val="5"/>
                <c:pt idx="0">
                  <c:v>301</c:v>
                </c:pt>
                <c:pt idx="1">
                  <c:v>293</c:v>
                </c:pt>
                <c:pt idx="2">
                  <c:v>419</c:v>
                </c:pt>
                <c:pt idx="3">
                  <c:v>176</c:v>
                </c:pt>
                <c:pt idx="4">
                  <c:v>877</c:v>
                </c:pt>
              </c:numCache>
            </c:numRef>
          </c:val>
        </c:ser>
        <c:ser>
          <c:idx val="6"/>
          <c:order val="6"/>
          <c:tx>
            <c:strRef>
              <c:f>label 6</c:f>
              <c:strCache>
                <c:ptCount val="1"/>
                <c:pt idx="0">
                  <c:v>tereny różne</c:v>
                </c:pt>
              </c:strCache>
            </c:strRef>
          </c:tx>
          <c:spPr>
            <a:solidFill>
              <a:srgbClr val="9E480E"/>
            </a:solidFill>
            <a:ln>
              <a:noFill/>
            </a:ln>
          </c:spPr>
          <c:invertIfNegative val="0"/>
          <c:dLbls>
            <c:txPr>
              <a:bodyPr/>
              <a:lstStyle/>
              <a:p>
                <a:pPr>
                  <a:defRPr sz="8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6</c:f>
              <c:numCache>
                <c:formatCode>General</c:formatCode>
                <c:ptCount val="5"/>
                <c:pt idx="0">
                  <c:v>1</c:v>
                </c:pt>
                <c:pt idx="1">
                  <c:v>1</c:v>
                </c:pt>
                <c:pt idx="2">
                  <c:v>0</c:v>
                </c:pt>
                <c:pt idx="3">
                  <c:v>65</c:v>
                </c:pt>
                <c:pt idx="4">
                  <c:v>6</c:v>
                </c:pt>
              </c:numCache>
            </c:numRef>
          </c:val>
        </c:ser>
        <c:dLbls>
          <c:showLegendKey val="0"/>
          <c:showVal val="0"/>
          <c:showCatName val="0"/>
          <c:showSerName val="0"/>
          <c:showPercent val="0"/>
          <c:showBubbleSize val="0"/>
        </c:dLbls>
        <c:gapWidth val="219"/>
        <c:overlap val="-27"/>
        <c:axId val="204343808"/>
        <c:axId val="171542784"/>
      </c:barChart>
      <c:lineChart>
        <c:grouping val="standard"/>
        <c:varyColors val="0"/>
        <c:ser>
          <c:idx val="7"/>
          <c:order val="7"/>
          <c:tx>
            <c:strRef>
              <c:f>label 7</c:f>
              <c:strCache>
                <c:ptCount val="1"/>
                <c:pt idx="0">
                  <c:v>powierzchnia ogółem</c:v>
                </c:pt>
              </c:strCache>
            </c:strRef>
          </c:tx>
          <c:spPr>
            <a:ln w="28440">
              <a:solidFill>
                <a:srgbClr val="5B9BD5"/>
              </a:solidFill>
              <a:round/>
            </a:ln>
          </c:spPr>
          <c:marker>
            <c:symbol val="circle"/>
            <c:size val="5"/>
            <c:spPr>
              <a:solidFill>
                <a:srgbClr val="5B9BD5"/>
              </a:solidFill>
            </c:spPr>
          </c:marker>
          <c:dLbls>
            <c:txPr>
              <a:bodyPr/>
              <a:lstStyle/>
              <a:p>
                <a:pPr>
                  <a:defRPr sz="8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7</c:f>
              <c:numCache>
                <c:formatCode>General</c:formatCode>
                <c:ptCount val="5"/>
                <c:pt idx="0">
                  <c:v>14811</c:v>
                </c:pt>
                <c:pt idx="1">
                  <c:v>12217</c:v>
                </c:pt>
                <c:pt idx="2">
                  <c:v>11654</c:v>
                </c:pt>
                <c:pt idx="3">
                  <c:v>9153</c:v>
                </c:pt>
                <c:pt idx="4">
                  <c:v>17214</c:v>
                </c:pt>
              </c:numCache>
            </c:numRef>
          </c:val>
          <c:smooth val="0"/>
        </c:ser>
        <c:dLbls>
          <c:showLegendKey val="0"/>
          <c:showVal val="0"/>
          <c:showCatName val="0"/>
          <c:showSerName val="0"/>
          <c:showPercent val="0"/>
          <c:showBubbleSize val="0"/>
        </c:dLbls>
        <c:hiLowLines>
          <c:spPr>
            <a:ln>
              <a:noFill/>
            </a:ln>
          </c:spPr>
        </c:hiLowLines>
        <c:marker val="1"/>
        <c:smooth val="0"/>
        <c:axId val="204343808"/>
        <c:axId val="171542784"/>
      </c:lineChart>
      <c:catAx>
        <c:axId val="20434380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800" b="0" strike="noStrike" spc="-1">
                <a:solidFill>
                  <a:srgbClr val="595959"/>
                </a:solidFill>
                <a:latin typeface="Calibri"/>
              </a:defRPr>
            </a:pPr>
            <a:endParaRPr lang="pl-PL"/>
          </a:p>
        </c:txPr>
        <c:crossAx val="171542784"/>
        <c:crosses val="autoZero"/>
        <c:auto val="1"/>
        <c:lblAlgn val="ctr"/>
        <c:lblOffset val="100"/>
        <c:noMultiLvlLbl val="1"/>
      </c:catAx>
      <c:valAx>
        <c:axId val="171542784"/>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800" b="0" strike="noStrike" spc="-1">
                <a:solidFill>
                  <a:srgbClr val="595959"/>
                </a:solidFill>
                <a:latin typeface="Calibri"/>
              </a:defRPr>
            </a:pPr>
            <a:endParaRPr lang="pl-PL"/>
          </a:p>
        </c:txPr>
        <c:crossAx val="204343808"/>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0</c:f>
              <c:numCache>
                <c:formatCode>General</c:formatCode>
                <c:ptCount val="5"/>
                <c:pt idx="0">
                  <c:v>6.7</c:v>
                </c:pt>
                <c:pt idx="1">
                  <c:v>0</c:v>
                </c:pt>
                <c:pt idx="2">
                  <c:v>29.6</c:v>
                </c:pt>
                <c:pt idx="3">
                  <c:v>45.7</c:v>
                </c:pt>
                <c:pt idx="4">
                  <c:v>0</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1</c:f>
              <c:numCache>
                <c:formatCode>General</c:formatCode>
                <c:ptCount val="5"/>
                <c:pt idx="0">
                  <c:v>6.7</c:v>
                </c:pt>
                <c:pt idx="1">
                  <c:v>0</c:v>
                </c:pt>
                <c:pt idx="2">
                  <c:v>29.7</c:v>
                </c:pt>
                <c:pt idx="3">
                  <c:v>46.2</c:v>
                </c:pt>
                <c:pt idx="4">
                  <c:v>0</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2</c:f>
              <c:numCache>
                <c:formatCode>General</c:formatCode>
                <c:ptCount val="5"/>
                <c:pt idx="0">
                  <c:v>6.7</c:v>
                </c:pt>
                <c:pt idx="1">
                  <c:v>0</c:v>
                </c:pt>
                <c:pt idx="2">
                  <c:v>29.9</c:v>
                </c:pt>
                <c:pt idx="3">
                  <c:v>50.3</c:v>
                </c:pt>
                <c:pt idx="4">
                  <c:v>0</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3</c:f>
              <c:numCache>
                <c:formatCode>General</c:formatCode>
                <c:ptCount val="5"/>
                <c:pt idx="0">
                  <c:v>6.7</c:v>
                </c:pt>
                <c:pt idx="1">
                  <c:v>0</c:v>
                </c:pt>
                <c:pt idx="2">
                  <c:v>30</c:v>
                </c:pt>
                <c:pt idx="3">
                  <c:v>50.4</c:v>
                </c:pt>
                <c:pt idx="4">
                  <c:v>0</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 </c:v>
                </c:pt>
                <c:pt idx="1">
                  <c:v>Cyców</c:v>
                </c:pt>
                <c:pt idx="2">
                  <c:v>Ludwin</c:v>
                </c:pt>
                <c:pt idx="3">
                  <c:v>Puchaczów</c:v>
                </c:pt>
                <c:pt idx="4">
                  <c:v>Urszulin</c:v>
                </c:pt>
              </c:strCache>
            </c:strRef>
          </c:cat>
          <c:val>
            <c:numRef>
              <c:f>4</c:f>
              <c:numCache>
                <c:formatCode>General</c:formatCode>
                <c:ptCount val="5"/>
                <c:pt idx="0">
                  <c:v>6.7</c:v>
                </c:pt>
                <c:pt idx="1">
                  <c:v>0</c:v>
                </c:pt>
                <c:pt idx="2">
                  <c:v>30.3</c:v>
                </c:pt>
                <c:pt idx="3">
                  <c:v>50.6</c:v>
                </c:pt>
                <c:pt idx="4">
                  <c:v>0</c:v>
                </c:pt>
              </c:numCache>
            </c:numRef>
          </c:val>
        </c:ser>
        <c:dLbls>
          <c:showLegendKey val="0"/>
          <c:showVal val="0"/>
          <c:showCatName val="0"/>
          <c:showSerName val="0"/>
          <c:showPercent val="0"/>
          <c:showBubbleSize val="0"/>
        </c:dLbls>
        <c:gapWidth val="219"/>
        <c:overlap val="-27"/>
        <c:axId val="206981632"/>
        <c:axId val="206566464"/>
      </c:barChart>
      <c:catAx>
        <c:axId val="206981632"/>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6566464"/>
        <c:crosses val="autoZero"/>
        <c:auto val="1"/>
        <c:lblAlgn val="ctr"/>
        <c:lblOffset val="100"/>
        <c:noMultiLvlLbl val="1"/>
      </c:catAx>
      <c:valAx>
        <c:axId val="206566464"/>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981632"/>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bar"/>
        <c:grouping val="clustered"/>
        <c:varyColors val="0"/>
        <c:ser>
          <c:idx val="0"/>
          <c:order val="0"/>
          <c:tx>
            <c:strRef>
              <c:f>label 0</c:f>
              <c:strCache>
                <c:ptCount val="1"/>
                <c:pt idx="0">
                  <c:v>Cyców</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5"/>
              </c:strCache>
            </c:strRef>
          </c:cat>
          <c:val>
            <c:numRef>
              <c:f>0</c:f>
              <c:numCache>
                <c:formatCode>General</c:formatCode>
                <c:ptCount val="15"/>
                <c:pt idx="0">
                  <c:v>97.2</c:v>
                </c:pt>
                <c:pt idx="1">
                  <c:v>22.4</c:v>
                </c:pt>
                <c:pt idx="2">
                  <c:v>0.1</c:v>
                </c:pt>
                <c:pt idx="3">
                  <c:v>97.2</c:v>
                </c:pt>
                <c:pt idx="4">
                  <c:v>21.7</c:v>
                </c:pt>
                <c:pt idx="5">
                  <c:v>0.2</c:v>
                </c:pt>
                <c:pt idx="6">
                  <c:v>97.2</c:v>
                </c:pt>
                <c:pt idx="7">
                  <c:v>21.7</c:v>
                </c:pt>
                <c:pt idx="8">
                  <c:v>0.2</c:v>
                </c:pt>
                <c:pt idx="9">
                  <c:v>97.3</c:v>
                </c:pt>
                <c:pt idx="10">
                  <c:v>21.9</c:v>
                </c:pt>
                <c:pt idx="11">
                  <c:v>0</c:v>
                </c:pt>
                <c:pt idx="12">
                  <c:v>97.3</c:v>
                </c:pt>
                <c:pt idx="13">
                  <c:v>22</c:v>
                </c:pt>
                <c:pt idx="14">
                  <c:v>0</c:v>
                </c:pt>
              </c:numCache>
            </c:numRef>
          </c:val>
        </c:ser>
        <c:ser>
          <c:idx val="1"/>
          <c:order val="1"/>
          <c:tx>
            <c:strRef>
              <c:f>label 1</c:f>
              <c:strCache>
                <c:ptCount val="1"/>
                <c:pt idx="0">
                  <c:v>Ludwin</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5"/>
              </c:strCache>
            </c:strRef>
          </c:cat>
          <c:val>
            <c:numRef>
              <c:f>1</c:f>
              <c:numCache>
                <c:formatCode>General</c:formatCode>
                <c:ptCount val="15"/>
                <c:pt idx="0">
                  <c:v>91.3</c:v>
                </c:pt>
                <c:pt idx="1">
                  <c:v>31.1</c:v>
                </c:pt>
                <c:pt idx="2">
                  <c:v>14.1</c:v>
                </c:pt>
                <c:pt idx="3">
                  <c:v>91.5</c:v>
                </c:pt>
                <c:pt idx="4">
                  <c:v>31.5</c:v>
                </c:pt>
                <c:pt idx="5">
                  <c:v>14.5</c:v>
                </c:pt>
                <c:pt idx="6">
                  <c:v>91.5</c:v>
                </c:pt>
                <c:pt idx="7">
                  <c:v>31.5</c:v>
                </c:pt>
                <c:pt idx="8">
                  <c:v>14.8</c:v>
                </c:pt>
                <c:pt idx="9">
                  <c:v>91.9</c:v>
                </c:pt>
                <c:pt idx="10">
                  <c:v>32.5</c:v>
                </c:pt>
                <c:pt idx="11">
                  <c:v>14.9</c:v>
                </c:pt>
                <c:pt idx="12">
                  <c:v>92</c:v>
                </c:pt>
                <c:pt idx="13">
                  <c:v>33.1</c:v>
                </c:pt>
                <c:pt idx="14">
                  <c:v>15.3</c:v>
                </c:pt>
              </c:numCache>
            </c:numRef>
          </c:val>
        </c:ser>
        <c:ser>
          <c:idx val="2"/>
          <c:order val="2"/>
          <c:tx>
            <c:strRef>
              <c:f>label 2</c:f>
              <c:strCache>
                <c:ptCount val="1"/>
                <c:pt idx="0">
                  <c:v>Milejów</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5"/>
              </c:strCache>
            </c:strRef>
          </c:cat>
          <c:val>
            <c:numRef>
              <c:f>2</c:f>
              <c:numCache>
                <c:formatCode>General</c:formatCode>
                <c:ptCount val="15"/>
                <c:pt idx="0">
                  <c:v>98.6</c:v>
                </c:pt>
                <c:pt idx="1">
                  <c:v>21.4</c:v>
                </c:pt>
                <c:pt idx="2">
                  <c:v>1.7</c:v>
                </c:pt>
                <c:pt idx="3">
                  <c:v>98.6</c:v>
                </c:pt>
                <c:pt idx="4">
                  <c:v>21.5</c:v>
                </c:pt>
                <c:pt idx="5">
                  <c:v>1.8</c:v>
                </c:pt>
                <c:pt idx="6">
                  <c:v>98.6</c:v>
                </c:pt>
                <c:pt idx="7">
                  <c:v>21.5</c:v>
                </c:pt>
                <c:pt idx="8">
                  <c:v>1.8</c:v>
                </c:pt>
                <c:pt idx="9">
                  <c:v>98.6</c:v>
                </c:pt>
                <c:pt idx="10">
                  <c:v>21.6</c:v>
                </c:pt>
                <c:pt idx="11">
                  <c:v>1.9</c:v>
                </c:pt>
                <c:pt idx="12">
                  <c:v>98.6</c:v>
                </c:pt>
                <c:pt idx="13">
                  <c:v>21.6</c:v>
                </c:pt>
                <c:pt idx="14">
                  <c:v>1.9</c:v>
                </c:pt>
              </c:numCache>
            </c:numRef>
          </c:val>
        </c:ser>
        <c:ser>
          <c:idx val="3"/>
          <c:order val="3"/>
          <c:tx>
            <c:strRef>
              <c:f>label 3</c:f>
              <c:strCache>
                <c:ptCount val="1"/>
                <c:pt idx="0">
                  <c:v>Puchaczów</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5"/>
              </c:strCache>
            </c:strRef>
          </c:cat>
          <c:val>
            <c:numRef>
              <c:f>3</c:f>
              <c:numCache>
                <c:formatCode>General</c:formatCode>
                <c:ptCount val="15"/>
                <c:pt idx="0">
                  <c:v>93.9</c:v>
                </c:pt>
                <c:pt idx="1">
                  <c:v>69</c:v>
                </c:pt>
                <c:pt idx="2">
                  <c:v>28</c:v>
                </c:pt>
                <c:pt idx="3">
                  <c:v>94</c:v>
                </c:pt>
                <c:pt idx="4">
                  <c:v>80.099999999999994</c:v>
                </c:pt>
                <c:pt idx="5">
                  <c:v>28.9</c:v>
                </c:pt>
                <c:pt idx="6">
                  <c:v>94</c:v>
                </c:pt>
                <c:pt idx="7">
                  <c:v>73.2</c:v>
                </c:pt>
                <c:pt idx="8">
                  <c:v>30.2</c:v>
                </c:pt>
                <c:pt idx="9">
                  <c:v>94</c:v>
                </c:pt>
                <c:pt idx="10">
                  <c:v>73.2</c:v>
                </c:pt>
                <c:pt idx="11">
                  <c:v>32.700000000000003</c:v>
                </c:pt>
                <c:pt idx="12">
                  <c:v>94.1</c:v>
                </c:pt>
                <c:pt idx="13">
                  <c:v>73.3</c:v>
                </c:pt>
                <c:pt idx="14">
                  <c:v>33.4</c:v>
                </c:pt>
              </c:numCache>
            </c:numRef>
          </c:val>
        </c:ser>
        <c:ser>
          <c:idx val="4"/>
          <c:order val="4"/>
          <c:tx>
            <c:strRef>
              <c:f>label 4</c:f>
              <c:strCache>
                <c:ptCount val="1"/>
                <c:pt idx="0">
                  <c:v>Urszulin</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5"/>
              </c:strCache>
            </c:strRef>
          </c:cat>
          <c:val>
            <c:numRef>
              <c:f>4</c:f>
              <c:numCache>
                <c:formatCode>General</c:formatCode>
                <c:ptCount val="15"/>
                <c:pt idx="0">
                  <c:v>89.3</c:v>
                </c:pt>
                <c:pt idx="1">
                  <c:v>23.2</c:v>
                </c:pt>
                <c:pt idx="2">
                  <c:v>0</c:v>
                </c:pt>
                <c:pt idx="3">
                  <c:v>89.3</c:v>
                </c:pt>
                <c:pt idx="4">
                  <c:v>23.2</c:v>
                </c:pt>
                <c:pt idx="5">
                  <c:v>0</c:v>
                </c:pt>
                <c:pt idx="6">
                  <c:v>89.5</c:v>
                </c:pt>
                <c:pt idx="7">
                  <c:v>24.4</c:v>
                </c:pt>
                <c:pt idx="8">
                  <c:v>0</c:v>
                </c:pt>
                <c:pt idx="9">
                  <c:v>89.6</c:v>
                </c:pt>
                <c:pt idx="10">
                  <c:v>25.1</c:v>
                </c:pt>
                <c:pt idx="11">
                  <c:v>0</c:v>
                </c:pt>
                <c:pt idx="12">
                  <c:v>90</c:v>
                </c:pt>
                <c:pt idx="13">
                  <c:v>27.9</c:v>
                </c:pt>
                <c:pt idx="14">
                  <c:v>0</c:v>
                </c:pt>
              </c:numCache>
            </c:numRef>
          </c:val>
        </c:ser>
        <c:dLbls>
          <c:showLegendKey val="0"/>
          <c:showVal val="0"/>
          <c:showCatName val="0"/>
          <c:showSerName val="0"/>
          <c:showPercent val="0"/>
          <c:showBubbleSize val="0"/>
        </c:dLbls>
        <c:gapWidth val="182"/>
        <c:axId val="207532544"/>
        <c:axId val="206568192"/>
      </c:barChart>
      <c:catAx>
        <c:axId val="207532544"/>
        <c:scaling>
          <c:orientation val="minMax"/>
        </c:scaling>
        <c:delete val="0"/>
        <c:axPos val="l"/>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6568192"/>
        <c:crosses val="autoZero"/>
        <c:auto val="1"/>
        <c:lblAlgn val="ctr"/>
        <c:lblOffset val="100"/>
        <c:noMultiLvlLbl val="1"/>
      </c:catAx>
      <c:valAx>
        <c:axId val="206568192"/>
        <c:scaling>
          <c:orientation val="minMax"/>
        </c:scaling>
        <c:delete val="0"/>
        <c:axPos val="b"/>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7532544"/>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pieChart>
        <c:varyColors val="1"/>
        <c:ser>
          <c:idx val="0"/>
          <c:order val="0"/>
          <c:tx>
            <c:strRef>
              <c:f>label 0</c:f>
              <c:strCache>
                <c:ptCount val="1"/>
                <c:pt idx="0">
                  <c:v>Seria bez nazwy 1</c:v>
                </c:pt>
              </c:strCache>
            </c:strRef>
          </c:tx>
          <c:spPr>
            <a:solidFill>
              <a:srgbClr val="5B9BD5"/>
            </a:solidFill>
            <a:ln>
              <a:noFill/>
            </a:ln>
          </c:spPr>
          <c:dPt>
            <c:idx val="0"/>
            <c:bubble3D val="0"/>
            <c:spPr>
              <a:solidFill>
                <a:srgbClr val="5B9BD5"/>
              </a:solidFill>
              <a:ln w="19080">
                <a:solidFill>
                  <a:srgbClr val="FFFFFF"/>
                </a:solidFill>
                <a:round/>
              </a:ln>
            </c:spPr>
          </c:dPt>
          <c:dPt>
            <c:idx val="1"/>
            <c:bubble3D val="0"/>
            <c:spPr>
              <a:solidFill>
                <a:srgbClr val="ED7D31"/>
              </a:solidFill>
              <a:ln w="19080">
                <a:solidFill>
                  <a:srgbClr val="FFFFFF"/>
                </a:solidFill>
                <a:round/>
              </a:ln>
            </c:spPr>
          </c:dPt>
          <c:dPt>
            <c:idx val="2"/>
            <c:bubble3D val="0"/>
            <c:spPr>
              <a:solidFill>
                <a:srgbClr val="A5A5A5"/>
              </a:solidFill>
              <a:ln w="19080">
                <a:solidFill>
                  <a:srgbClr val="FFFFFF"/>
                </a:solidFill>
                <a:round/>
              </a:ln>
            </c:spPr>
          </c:dPt>
          <c:dPt>
            <c:idx val="3"/>
            <c:bubble3D val="0"/>
            <c:spPr>
              <a:solidFill>
                <a:srgbClr val="FFC000"/>
              </a:solidFill>
              <a:ln w="19080">
                <a:solidFill>
                  <a:srgbClr val="FFFFFF"/>
                </a:solidFill>
                <a:round/>
              </a:ln>
            </c:spPr>
          </c:dPt>
          <c:dPt>
            <c:idx val="4"/>
            <c:bubble3D val="0"/>
            <c:spPr>
              <a:solidFill>
                <a:srgbClr val="4472C4"/>
              </a:solidFill>
              <a:ln w="19080">
                <a:solidFill>
                  <a:srgbClr val="FFFFFF"/>
                </a:solidFill>
                <a:round/>
              </a:ln>
            </c:spPr>
          </c:dPt>
          <c:dLbls>
            <c:txPr>
              <a:bodyPr/>
              <a:lstStyle/>
              <a:p>
                <a:pPr>
                  <a:defRPr sz="900" b="0" strike="noStrike" spc="-1">
                    <a:solidFill>
                      <a:srgbClr val="404040"/>
                    </a:solidFill>
                    <a:latin typeface="Calibri"/>
                  </a:defRPr>
                </a:pPr>
                <a:endParaRPr lang="pl-PL"/>
              </a:p>
            </c:txPr>
            <c:dLblPos val="outEnd"/>
            <c:showLegendKey val="0"/>
            <c:showVal val="0"/>
            <c:showCatName val="0"/>
            <c:showSerName val="0"/>
            <c:showPercent val="1"/>
            <c:showBubbleSize val="1"/>
            <c:separator>
</c:separator>
            <c:showLeaderLines val="0"/>
          </c:dLbls>
          <c:cat>
            <c:strRef>
              <c:f>categories</c:f>
              <c:strCache>
                <c:ptCount val="5"/>
                <c:pt idx="0">
                  <c:v>do 1 ha włącznie</c:v>
                </c:pt>
                <c:pt idx="1">
                  <c:v>1 - 5 ha</c:v>
                </c:pt>
                <c:pt idx="2">
                  <c:v>5 - 10 ha</c:v>
                </c:pt>
                <c:pt idx="3">
                  <c:v>10 -15 ha</c:v>
                </c:pt>
                <c:pt idx="4">
                  <c:v>15 ha i więcej</c:v>
                </c:pt>
              </c:strCache>
            </c:strRef>
          </c:cat>
          <c:val>
            <c:numRef>
              <c:f>0</c:f>
              <c:numCache>
                <c:formatCode>General</c:formatCode>
                <c:ptCount val="5"/>
                <c:pt idx="0">
                  <c:v>1107.04</c:v>
                </c:pt>
                <c:pt idx="1">
                  <c:v>8134.4</c:v>
                </c:pt>
                <c:pt idx="2">
                  <c:v>11431.93</c:v>
                </c:pt>
                <c:pt idx="3">
                  <c:v>6355.29</c:v>
                </c:pt>
                <c:pt idx="4">
                  <c:v>16379.14</c:v>
                </c:pt>
              </c:numCache>
            </c:numRef>
          </c:val>
        </c:ser>
        <c:dLbls>
          <c:showLegendKey val="0"/>
          <c:showVal val="0"/>
          <c:showCatName val="0"/>
          <c:showSerName val="0"/>
          <c:showPercent val="0"/>
          <c:showBubbleSize val="0"/>
          <c:showLeaderLines val="0"/>
        </c:dLbls>
        <c:firstSliceAng val="0"/>
      </c:pieChart>
      <c:spPr>
        <a:noFill/>
        <a:ln>
          <a:noFill/>
        </a:ln>
      </c:spPr>
    </c:plotArea>
    <c:legend>
      <c:legendPos val="b"/>
      <c:overlay val="0"/>
      <c:spPr>
        <a:noFill/>
        <a:ln>
          <a:noFill/>
        </a:ln>
      </c:spPr>
      <c:txPr>
        <a:bodyPr/>
        <a:lstStyle/>
        <a:p>
          <a:pPr>
            <a:defRPr sz="900" b="0" strike="noStrike" spc="-1">
              <a:solidFill>
                <a:srgbClr val="595959"/>
              </a:solidFill>
              <a:latin typeface="Calibri"/>
            </a:defRPr>
          </a:pPr>
          <a:endParaRPr lang="pl-PL"/>
        </a:p>
      </c:txPr>
    </c:legend>
    <c:plotVisOnly val="1"/>
    <c:dispBlanksAs val="gap"/>
    <c:showDLblsOverMax val="1"/>
  </c:chart>
  <c:spPr>
    <a:noFill/>
    <a:ln w="9360">
      <a:noFill/>
    </a:ln>
  </c:spPr>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do 1 ha włącznie</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0</c:f>
              <c:numCache>
                <c:formatCode>General</c:formatCode>
                <c:ptCount val="5"/>
                <c:pt idx="0">
                  <c:v>183.41</c:v>
                </c:pt>
                <c:pt idx="1">
                  <c:v>154.69999999999999</c:v>
                </c:pt>
                <c:pt idx="2">
                  <c:v>331.2</c:v>
                </c:pt>
                <c:pt idx="3">
                  <c:v>185.65</c:v>
                </c:pt>
                <c:pt idx="4">
                  <c:v>252.08</c:v>
                </c:pt>
              </c:numCache>
            </c:numRef>
          </c:val>
        </c:ser>
        <c:ser>
          <c:idx val="1"/>
          <c:order val="1"/>
          <c:tx>
            <c:strRef>
              <c:f>label 1</c:f>
              <c:strCache>
                <c:ptCount val="1"/>
                <c:pt idx="0">
                  <c:v>1 - 5 ha</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1</c:f>
              <c:numCache>
                <c:formatCode>General</c:formatCode>
                <c:ptCount val="5"/>
                <c:pt idx="0">
                  <c:v>1950.31</c:v>
                </c:pt>
                <c:pt idx="1">
                  <c:v>1508.53</c:v>
                </c:pt>
                <c:pt idx="2">
                  <c:v>2029.43</c:v>
                </c:pt>
                <c:pt idx="3">
                  <c:v>1433.47</c:v>
                </c:pt>
                <c:pt idx="4">
                  <c:v>1212.6600000000001</c:v>
                </c:pt>
              </c:numCache>
            </c:numRef>
          </c:val>
        </c:ser>
        <c:ser>
          <c:idx val="2"/>
          <c:order val="2"/>
          <c:tx>
            <c:strRef>
              <c:f>label 2</c:f>
              <c:strCache>
                <c:ptCount val="1"/>
                <c:pt idx="0">
                  <c:v>5 - 10 ha</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2</c:f>
              <c:numCache>
                <c:formatCode>General</c:formatCode>
                <c:ptCount val="5"/>
                <c:pt idx="0">
                  <c:v>3249.49</c:v>
                </c:pt>
                <c:pt idx="1">
                  <c:v>2268.46</c:v>
                </c:pt>
                <c:pt idx="2">
                  <c:v>1801.26</c:v>
                </c:pt>
                <c:pt idx="3">
                  <c:v>1853.87</c:v>
                </c:pt>
                <c:pt idx="4">
                  <c:v>2258.85</c:v>
                </c:pt>
              </c:numCache>
            </c:numRef>
          </c:val>
        </c:ser>
        <c:ser>
          <c:idx val="3"/>
          <c:order val="3"/>
          <c:tx>
            <c:strRef>
              <c:f>label 3</c:f>
              <c:strCache>
                <c:ptCount val="1"/>
                <c:pt idx="0">
                  <c:v>10 -15 ha</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3</c:f>
              <c:numCache>
                <c:formatCode>General</c:formatCode>
                <c:ptCount val="5"/>
                <c:pt idx="0">
                  <c:v>1450.7</c:v>
                </c:pt>
                <c:pt idx="1">
                  <c:v>1560.15</c:v>
                </c:pt>
                <c:pt idx="2">
                  <c:v>805.37</c:v>
                </c:pt>
                <c:pt idx="3">
                  <c:v>1086.92</c:v>
                </c:pt>
                <c:pt idx="4">
                  <c:v>1452.15</c:v>
                </c:pt>
              </c:numCache>
            </c:numRef>
          </c:val>
        </c:ser>
        <c:ser>
          <c:idx val="4"/>
          <c:order val="4"/>
          <c:tx>
            <c:strRef>
              <c:f>label 4</c:f>
              <c:strCache>
                <c:ptCount val="1"/>
                <c:pt idx="0">
                  <c:v>15 ha i więcej</c:v>
                </c:pt>
              </c:strCache>
            </c:strRef>
          </c:tx>
          <c:spPr>
            <a:solidFill>
              <a:srgbClr val="70AD47"/>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4</c:f>
              <c:numCache>
                <c:formatCode>General</c:formatCode>
                <c:ptCount val="5"/>
                <c:pt idx="0">
                  <c:v>7019.91</c:v>
                </c:pt>
                <c:pt idx="1">
                  <c:v>1966.55</c:v>
                </c:pt>
                <c:pt idx="2">
                  <c:v>1739.59</c:v>
                </c:pt>
                <c:pt idx="3">
                  <c:v>1926.66</c:v>
                </c:pt>
                <c:pt idx="4">
                  <c:v>3726.43</c:v>
                </c:pt>
              </c:numCache>
            </c:numRef>
          </c:val>
        </c:ser>
        <c:dLbls>
          <c:showLegendKey val="0"/>
          <c:showVal val="0"/>
          <c:showCatName val="0"/>
          <c:showSerName val="0"/>
          <c:showPercent val="0"/>
          <c:showBubbleSize val="0"/>
        </c:dLbls>
        <c:gapWidth val="219"/>
        <c:overlap val="-27"/>
        <c:axId val="207421952"/>
        <c:axId val="207242944"/>
      </c:barChart>
      <c:lineChart>
        <c:grouping val="standard"/>
        <c:varyColors val="0"/>
        <c:ser>
          <c:idx val="5"/>
          <c:order val="5"/>
          <c:tx>
            <c:strRef>
              <c:f>label 5</c:f>
              <c:strCache>
                <c:ptCount val="1"/>
                <c:pt idx="0">
                  <c:v>ogółem</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5</c:f>
              <c:numCache>
                <c:formatCode>General</c:formatCode>
                <c:ptCount val="5"/>
                <c:pt idx="0">
                  <c:v>13853.82</c:v>
                </c:pt>
                <c:pt idx="1">
                  <c:v>7458.39</c:v>
                </c:pt>
                <c:pt idx="2">
                  <c:v>6706.85</c:v>
                </c:pt>
                <c:pt idx="3">
                  <c:v>6486.57</c:v>
                </c:pt>
                <c:pt idx="4">
                  <c:v>8902.17</c:v>
                </c:pt>
              </c:numCache>
            </c:numRef>
          </c:val>
          <c:smooth val="0"/>
        </c:ser>
        <c:dLbls>
          <c:showLegendKey val="0"/>
          <c:showVal val="0"/>
          <c:showCatName val="0"/>
          <c:showSerName val="0"/>
          <c:showPercent val="0"/>
          <c:showBubbleSize val="0"/>
        </c:dLbls>
        <c:hiLowLines>
          <c:spPr>
            <a:ln>
              <a:noFill/>
            </a:ln>
          </c:spPr>
        </c:hiLowLines>
        <c:marker val="1"/>
        <c:smooth val="0"/>
        <c:axId val="207421952"/>
        <c:axId val="207242944"/>
      </c:lineChart>
      <c:catAx>
        <c:axId val="207421952"/>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7242944"/>
        <c:crosses val="autoZero"/>
        <c:auto val="1"/>
        <c:lblAlgn val="ctr"/>
        <c:lblOffset val="100"/>
        <c:noMultiLvlLbl val="1"/>
      </c:catAx>
      <c:valAx>
        <c:axId val="207242944"/>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7421952"/>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sektor publiczny</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101</c:v>
                </c:pt>
                <c:pt idx="1">
                  <c:v>104</c:v>
                </c:pt>
                <c:pt idx="2">
                  <c:v>100</c:v>
                </c:pt>
                <c:pt idx="3">
                  <c:v>100</c:v>
                </c:pt>
                <c:pt idx="4">
                  <c:v>96</c:v>
                </c:pt>
              </c:numCache>
            </c:numRef>
          </c:val>
        </c:ser>
        <c:ser>
          <c:idx val="1"/>
          <c:order val="1"/>
          <c:tx>
            <c:strRef>
              <c:f>label 1</c:f>
              <c:strCache>
                <c:ptCount val="1"/>
                <c:pt idx="0">
                  <c:v>sektor prywatny</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1559</c:v>
                </c:pt>
                <c:pt idx="1">
                  <c:v>1523</c:v>
                </c:pt>
                <c:pt idx="2">
                  <c:v>1577</c:v>
                </c:pt>
                <c:pt idx="3">
                  <c:v>1684</c:v>
                </c:pt>
                <c:pt idx="4">
                  <c:v>1753</c:v>
                </c:pt>
              </c:numCache>
            </c:numRef>
          </c:val>
        </c:ser>
        <c:dLbls>
          <c:showLegendKey val="0"/>
          <c:showVal val="0"/>
          <c:showCatName val="0"/>
          <c:showSerName val="0"/>
          <c:showPercent val="0"/>
          <c:showBubbleSize val="0"/>
        </c:dLbls>
        <c:gapWidth val="219"/>
        <c:overlap val="-27"/>
        <c:axId val="207422976"/>
        <c:axId val="207244672"/>
      </c:barChart>
      <c:lineChart>
        <c:grouping val="standard"/>
        <c:varyColors val="0"/>
        <c:ser>
          <c:idx val="2"/>
          <c:order val="2"/>
          <c:tx>
            <c:strRef>
              <c:f>label 2</c:f>
              <c:strCache>
                <c:ptCount val="1"/>
                <c:pt idx="0">
                  <c:v>podmioty ogółem</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1665</c:v>
                </c:pt>
                <c:pt idx="1">
                  <c:v>1633</c:v>
                </c:pt>
                <c:pt idx="2">
                  <c:v>1687</c:v>
                </c:pt>
                <c:pt idx="3">
                  <c:v>1798</c:v>
                </c:pt>
                <c:pt idx="4">
                  <c:v>1868</c:v>
                </c:pt>
              </c:numCache>
            </c:numRef>
          </c:val>
          <c:smooth val="0"/>
        </c:ser>
        <c:dLbls>
          <c:showLegendKey val="0"/>
          <c:showVal val="0"/>
          <c:showCatName val="0"/>
          <c:showSerName val="0"/>
          <c:showPercent val="0"/>
          <c:showBubbleSize val="0"/>
        </c:dLbls>
        <c:hiLowLines>
          <c:spPr>
            <a:ln>
              <a:noFill/>
            </a:ln>
          </c:spPr>
        </c:hiLowLines>
        <c:marker val="1"/>
        <c:smooth val="0"/>
        <c:axId val="207422976"/>
        <c:axId val="207244672"/>
      </c:lineChart>
      <c:catAx>
        <c:axId val="20742297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7244672"/>
        <c:crosses val="autoZero"/>
        <c:auto val="1"/>
        <c:lblAlgn val="ctr"/>
        <c:lblOffset val="100"/>
        <c:noMultiLvlLbl val="1"/>
      </c:catAx>
      <c:valAx>
        <c:axId val="20724467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7422976"/>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manualLayout>
          <c:layoutTarget val="inner"/>
          <c:xMode val="edge"/>
          <c:yMode val="edge"/>
          <c:x val="6.3625000000000001E-2"/>
          <c:y val="7.41111111111111E-2"/>
          <c:w val="0.91268749999999998"/>
          <c:h val="0.47855555555555601"/>
        </c:manualLayout>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Puchaczów</c:v>
                </c:pt>
                <c:pt idx="2">
                  <c:v>Cyców</c:v>
                </c:pt>
                <c:pt idx="3">
                  <c:v>Ludwin</c:v>
                </c:pt>
                <c:pt idx="4">
                  <c:v>Urszulin</c:v>
                </c:pt>
              </c:strCache>
            </c:strRef>
          </c:cat>
          <c:val>
            <c:numRef>
              <c:f>0</c:f>
              <c:numCache>
                <c:formatCode>General</c:formatCode>
                <c:ptCount val="5"/>
                <c:pt idx="0">
                  <c:v>440</c:v>
                </c:pt>
                <c:pt idx="1">
                  <c:v>355</c:v>
                </c:pt>
                <c:pt idx="2">
                  <c:v>366</c:v>
                </c:pt>
                <c:pt idx="3">
                  <c:v>248</c:v>
                </c:pt>
                <c:pt idx="4">
                  <c:v>256</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Puchaczów</c:v>
                </c:pt>
                <c:pt idx="2">
                  <c:v>Cyców</c:v>
                </c:pt>
                <c:pt idx="3">
                  <c:v>Ludwin</c:v>
                </c:pt>
                <c:pt idx="4">
                  <c:v>Urszulin</c:v>
                </c:pt>
              </c:strCache>
            </c:strRef>
          </c:cat>
          <c:val>
            <c:numRef>
              <c:f>1</c:f>
              <c:numCache>
                <c:formatCode>General</c:formatCode>
                <c:ptCount val="5"/>
                <c:pt idx="0">
                  <c:v>436</c:v>
                </c:pt>
                <c:pt idx="1">
                  <c:v>362</c:v>
                </c:pt>
                <c:pt idx="2">
                  <c:v>342</c:v>
                </c:pt>
                <c:pt idx="3">
                  <c:v>249</c:v>
                </c:pt>
                <c:pt idx="4">
                  <c:v>244</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Puchaczów</c:v>
                </c:pt>
                <c:pt idx="2">
                  <c:v>Cyców</c:v>
                </c:pt>
                <c:pt idx="3">
                  <c:v>Ludwin</c:v>
                </c:pt>
                <c:pt idx="4">
                  <c:v>Urszulin</c:v>
                </c:pt>
              </c:strCache>
            </c:strRef>
          </c:cat>
          <c:val>
            <c:numRef>
              <c:f>2</c:f>
              <c:numCache>
                <c:formatCode>General</c:formatCode>
                <c:ptCount val="5"/>
                <c:pt idx="0">
                  <c:v>443</c:v>
                </c:pt>
                <c:pt idx="1">
                  <c:v>378</c:v>
                </c:pt>
                <c:pt idx="2">
                  <c:v>350</c:v>
                </c:pt>
                <c:pt idx="3">
                  <c:v>263</c:v>
                </c:pt>
                <c:pt idx="4">
                  <c:v>253</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Puchaczów</c:v>
                </c:pt>
                <c:pt idx="2">
                  <c:v>Cyców</c:v>
                </c:pt>
                <c:pt idx="3">
                  <c:v>Ludwin</c:v>
                </c:pt>
                <c:pt idx="4">
                  <c:v>Urszulin</c:v>
                </c:pt>
              </c:strCache>
            </c:strRef>
          </c:cat>
          <c:val>
            <c:numRef>
              <c:f>3</c:f>
              <c:numCache>
                <c:formatCode>General</c:formatCode>
                <c:ptCount val="5"/>
                <c:pt idx="0">
                  <c:v>488</c:v>
                </c:pt>
                <c:pt idx="1">
                  <c:v>396</c:v>
                </c:pt>
                <c:pt idx="2">
                  <c:v>371</c:v>
                </c:pt>
                <c:pt idx="3">
                  <c:v>279</c:v>
                </c:pt>
                <c:pt idx="4">
                  <c:v>264</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Puchaczów</c:v>
                </c:pt>
                <c:pt idx="2">
                  <c:v>Cyców</c:v>
                </c:pt>
                <c:pt idx="3">
                  <c:v>Ludwin</c:v>
                </c:pt>
                <c:pt idx="4">
                  <c:v>Urszulin</c:v>
                </c:pt>
              </c:strCache>
            </c:strRef>
          </c:cat>
          <c:val>
            <c:numRef>
              <c:f>4</c:f>
              <c:numCache>
                <c:formatCode>General</c:formatCode>
                <c:ptCount val="5"/>
                <c:pt idx="0">
                  <c:v>514</c:v>
                </c:pt>
                <c:pt idx="1">
                  <c:v>394</c:v>
                </c:pt>
                <c:pt idx="2">
                  <c:v>377</c:v>
                </c:pt>
                <c:pt idx="3">
                  <c:v>305</c:v>
                </c:pt>
                <c:pt idx="4">
                  <c:v>278</c:v>
                </c:pt>
              </c:numCache>
            </c:numRef>
          </c:val>
        </c:ser>
        <c:dLbls>
          <c:showLegendKey val="0"/>
          <c:showVal val="0"/>
          <c:showCatName val="0"/>
          <c:showSerName val="0"/>
          <c:showPercent val="0"/>
          <c:showBubbleSize val="0"/>
        </c:dLbls>
        <c:gapWidth val="219"/>
        <c:overlap val="-27"/>
        <c:axId val="207814656"/>
        <c:axId val="207246400"/>
      </c:barChart>
      <c:catAx>
        <c:axId val="20781465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7246400"/>
        <c:crosses val="autoZero"/>
        <c:auto val="1"/>
        <c:lblAlgn val="ctr"/>
        <c:lblOffset val="100"/>
        <c:noMultiLvlLbl val="1"/>
      </c:catAx>
      <c:valAx>
        <c:axId val="207246400"/>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7814656"/>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Milejów</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0</c:f>
              <c:numCache>
                <c:formatCode>General</c:formatCode>
                <c:ptCount val="10"/>
                <c:pt idx="0">
                  <c:v>409</c:v>
                </c:pt>
                <c:pt idx="1">
                  <c:v>406</c:v>
                </c:pt>
                <c:pt idx="2">
                  <c:v>416</c:v>
                </c:pt>
                <c:pt idx="3">
                  <c:v>459</c:v>
                </c:pt>
                <c:pt idx="4">
                  <c:v>482</c:v>
                </c:pt>
                <c:pt idx="5">
                  <c:v>27</c:v>
                </c:pt>
                <c:pt idx="6">
                  <c:v>27</c:v>
                </c:pt>
                <c:pt idx="7">
                  <c:v>23</c:v>
                </c:pt>
                <c:pt idx="8">
                  <c:v>23</c:v>
                </c:pt>
                <c:pt idx="9">
                  <c:v>22</c:v>
                </c:pt>
              </c:numCache>
            </c:numRef>
          </c:val>
        </c:ser>
        <c:ser>
          <c:idx val="1"/>
          <c:order val="1"/>
          <c:tx>
            <c:strRef>
              <c:f>label 1</c:f>
              <c:strCache>
                <c:ptCount val="1"/>
                <c:pt idx="0">
                  <c:v>Puchaczów</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1</c:f>
              <c:numCache>
                <c:formatCode>General</c:formatCode>
                <c:ptCount val="10"/>
                <c:pt idx="0">
                  <c:v>341</c:v>
                </c:pt>
                <c:pt idx="1">
                  <c:v>344</c:v>
                </c:pt>
                <c:pt idx="2">
                  <c:v>358</c:v>
                </c:pt>
                <c:pt idx="3">
                  <c:v>375</c:v>
                </c:pt>
                <c:pt idx="4">
                  <c:v>373</c:v>
                </c:pt>
                <c:pt idx="5">
                  <c:v>14</c:v>
                </c:pt>
                <c:pt idx="6">
                  <c:v>18</c:v>
                </c:pt>
                <c:pt idx="7">
                  <c:v>18</c:v>
                </c:pt>
                <c:pt idx="8">
                  <c:v>18</c:v>
                </c:pt>
                <c:pt idx="9">
                  <c:v>18</c:v>
                </c:pt>
              </c:numCache>
            </c:numRef>
          </c:val>
        </c:ser>
        <c:ser>
          <c:idx val="2"/>
          <c:order val="2"/>
          <c:tx>
            <c:strRef>
              <c:f>label 2</c:f>
              <c:strCache>
                <c:ptCount val="1"/>
                <c:pt idx="0">
                  <c:v>Cyców</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2</c:f>
              <c:numCache>
                <c:formatCode>General</c:formatCode>
                <c:ptCount val="10"/>
                <c:pt idx="0">
                  <c:v>341</c:v>
                </c:pt>
                <c:pt idx="1">
                  <c:v>317</c:v>
                </c:pt>
                <c:pt idx="2">
                  <c:v>325</c:v>
                </c:pt>
                <c:pt idx="3">
                  <c:v>346</c:v>
                </c:pt>
                <c:pt idx="4">
                  <c:v>351</c:v>
                </c:pt>
                <c:pt idx="5">
                  <c:v>25</c:v>
                </c:pt>
                <c:pt idx="6">
                  <c:v>25</c:v>
                </c:pt>
                <c:pt idx="7">
                  <c:v>25</c:v>
                </c:pt>
                <c:pt idx="8">
                  <c:v>24</c:v>
                </c:pt>
                <c:pt idx="9">
                  <c:v>24</c:v>
                </c:pt>
              </c:numCache>
            </c:numRef>
          </c:val>
        </c:ser>
        <c:ser>
          <c:idx val="3"/>
          <c:order val="3"/>
          <c:tx>
            <c:strRef>
              <c:f>label 3</c:f>
              <c:strCache>
                <c:ptCount val="1"/>
                <c:pt idx="0">
                  <c:v>Ludwin</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3</c:f>
              <c:numCache>
                <c:formatCode>General</c:formatCode>
                <c:ptCount val="10"/>
                <c:pt idx="0">
                  <c:v>226</c:v>
                </c:pt>
                <c:pt idx="1">
                  <c:v>227</c:v>
                </c:pt>
                <c:pt idx="2">
                  <c:v>241</c:v>
                </c:pt>
                <c:pt idx="3">
                  <c:v>259</c:v>
                </c:pt>
                <c:pt idx="4">
                  <c:v>288</c:v>
                </c:pt>
                <c:pt idx="5">
                  <c:v>21</c:v>
                </c:pt>
                <c:pt idx="6">
                  <c:v>20</c:v>
                </c:pt>
                <c:pt idx="7">
                  <c:v>20</c:v>
                </c:pt>
                <c:pt idx="8">
                  <c:v>18</c:v>
                </c:pt>
                <c:pt idx="9">
                  <c:v>16</c:v>
                </c:pt>
              </c:numCache>
            </c:numRef>
          </c:val>
        </c:ser>
        <c:ser>
          <c:idx val="4"/>
          <c:order val="4"/>
          <c:tx>
            <c:strRef>
              <c:f>label 4</c:f>
              <c:strCache>
                <c:ptCount val="1"/>
                <c:pt idx="0">
                  <c:v>Urszulin</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4</c:f>
              <c:numCache>
                <c:formatCode>General</c:formatCode>
                <c:ptCount val="10"/>
                <c:pt idx="0">
                  <c:v>242</c:v>
                </c:pt>
                <c:pt idx="1">
                  <c:v>229</c:v>
                </c:pt>
                <c:pt idx="2">
                  <c:v>237</c:v>
                </c:pt>
                <c:pt idx="3">
                  <c:v>245</c:v>
                </c:pt>
                <c:pt idx="4">
                  <c:v>259</c:v>
                </c:pt>
                <c:pt idx="5">
                  <c:v>14</c:v>
                </c:pt>
                <c:pt idx="6">
                  <c:v>14</c:v>
                </c:pt>
                <c:pt idx="7">
                  <c:v>14</c:v>
                </c:pt>
                <c:pt idx="8">
                  <c:v>17</c:v>
                </c:pt>
                <c:pt idx="9">
                  <c:v>16</c:v>
                </c:pt>
              </c:numCache>
            </c:numRef>
          </c:val>
        </c:ser>
        <c:dLbls>
          <c:showLegendKey val="0"/>
          <c:showVal val="0"/>
          <c:showCatName val="0"/>
          <c:showSerName val="0"/>
          <c:showPercent val="0"/>
          <c:showBubbleSize val="0"/>
        </c:dLbls>
        <c:gapWidth val="219"/>
        <c:overlap val="-27"/>
        <c:axId val="207535616"/>
        <c:axId val="207248128"/>
      </c:barChart>
      <c:catAx>
        <c:axId val="20753561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7248128"/>
        <c:crosses val="autoZero"/>
        <c:auto val="1"/>
        <c:lblAlgn val="ctr"/>
        <c:lblOffset val="100"/>
        <c:noMultiLvlLbl val="1"/>
      </c:catAx>
      <c:valAx>
        <c:axId val="20724812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7535616"/>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0-9</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1591</c:v>
                </c:pt>
                <c:pt idx="1">
                  <c:v>1557</c:v>
                </c:pt>
                <c:pt idx="2">
                  <c:v>1609</c:v>
                </c:pt>
                <c:pt idx="3">
                  <c:v>1714</c:v>
                </c:pt>
                <c:pt idx="4">
                  <c:v>1791</c:v>
                </c:pt>
              </c:numCache>
            </c:numRef>
          </c:val>
        </c:ser>
        <c:ser>
          <c:idx val="1"/>
          <c:order val="1"/>
          <c:tx>
            <c:strRef>
              <c:f>label 1</c:f>
              <c:strCache>
                <c:ptCount val="1"/>
                <c:pt idx="0">
                  <c:v>10-49</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57</c:v>
                </c:pt>
                <c:pt idx="1">
                  <c:v>58</c:v>
                </c:pt>
                <c:pt idx="2">
                  <c:v>60</c:v>
                </c:pt>
                <c:pt idx="3">
                  <c:v>65</c:v>
                </c:pt>
                <c:pt idx="4">
                  <c:v>60</c:v>
                </c:pt>
              </c:numCache>
            </c:numRef>
          </c:val>
        </c:ser>
        <c:ser>
          <c:idx val="2"/>
          <c:order val="2"/>
          <c:tx>
            <c:strRef>
              <c:f>label 2</c:f>
              <c:strCache>
                <c:ptCount val="1"/>
                <c:pt idx="0">
                  <c:v>50-249</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15</c:v>
                </c:pt>
                <c:pt idx="1">
                  <c:v>17</c:v>
                </c:pt>
                <c:pt idx="2">
                  <c:v>17</c:v>
                </c:pt>
                <c:pt idx="3">
                  <c:v>18</c:v>
                </c:pt>
                <c:pt idx="4">
                  <c:v>16</c:v>
                </c:pt>
              </c:numCache>
            </c:numRef>
          </c:val>
        </c:ser>
        <c:ser>
          <c:idx val="3"/>
          <c:order val="3"/>
          <c:tx>
            <c:strRef>
              <c:f>label 3</c:f>
              <c:strCache>
                <c:ptCount val="1"/>
                <c:pt idx="0">
                  <c:v>250-999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3</c:f>
              <c:numCache>
                <c:formatCode>General</c:formatCode>
                <c:ptCount val="5"/>
                <c:pt idx="0">
                  <c:v>1</c:v>
                </c:pt>
                <c:pt idx="1">
                  <c:v>0</c:v>
                </c:pt>
                <c:pt idx="2">
                  <c:v>0</c:v>
                </c:pt>
                <c:pt idx="3">
                  <c:v>0</c:v>
                </c:pt>
                <c:pt idx="4">
                  <c:v>0</c:v>
                </c:pt>
              </c:numCache>
            </c:numRef>
          </c:val>
        </c:ser>
        <c:ser>
          <c:idx val="4"/>
          <c:order val="4"/>
          <c:tx>
            <c:strRef>
              <c:f>label 4</c:f>
              <c:strCache>
                <c:ptCount val="1"/>
                <c:pt idx="0">
                  <c:v>1000 i więcej</c:v>
                </c:pt>
              </c:strCache>
            </c:strRef>
          </c:tx>
          <c:spPr>
            <a:solidFill>
              <a:srgbClr val="70AD47"/>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4</c:f>
              <c:numCache>
                <c:formatCode>General</c:formatCode>
                <c:ptCount val="5"/>
                <c:pt idx="0">
                  <c:v>1</c:v>
                </c:pt>
                <c:pt idx="1">
                  <c:v>1</c:v>
                </c:pt>
                <c:pt idx="2">
                  <c:v>1</c:v>
                </c:pt>
                <c:pt idx="3">
                  <c:v>1</c:v>
                </c:pt>
                <c:pt idx="4">
                  <c:v>1</c:v>
                </c:pt>
              </c:numCache>
            </c:numRef>
          </c:val>
        </c:ser>
        <c:dLbls>
          <c:showLegendKey val="0"/>
          <c:showVal val="0"/>
          <c:showCatName val="0"/>
          <c:showSerName val="0"/>
          <c:showPercent val="0"/>
          <c:showBubbleSize val="0"/>
        </c:dLbls>
        <c:gapWidth val="219"/>
        <c:overlap val="-27"/>
        <c:axId val="207817216"/>
        <c:axId val="207675968"/>
      </c:barChart>
      <c:lineChart>
        <c:grouping val="standard"/>
        <c:varyColors val="0"/>
        <c:ser>
          <c:idx val="5"/>
          <c:order val="5"/>
          <c:tx>
            <c:strRef>
              <c:f>label 5</c:f>
              <c:strCache>
                <c:ptCount val="1"/>
                <c:pt idx="0">
                  <c:v>ogółem</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5</c:f>
              <c:numCache>
                <c:formatCode>General</c:formatCode>
                <c:ptCount val="5"/>
                <c:pt idx="0">
                  <c:v>1665</c:v>
                </c:pt>
                <c:pt idx="1">
                  <c:v>1633</c:v>
                </c:pt>
                <c:pt idx="2">
                  <c:v>1687</c:v>
                </c:pt>
                <c:pt idx="3">
                  <c:v>1798</c:v>
                </c:pt>
                <c:pt idx="4">
                  <c:v>1868</c:v>
                </c:pt>
              </c:numCache>
            </c:numRef>
          </c:val>
          <c:smooth val="0"/>
        </c:ser>
        <c:dLbls>
          <c:showLegendKey val="0"/>
          <c:showVal val="0"/>
          <c:showCatName val="0"/>
          <c:showSerName val="0"/>
          <c:showPercent val="0"/>
          <c:showBubbleSize val="0"/>
        </c:dLbls>
        <c:hiLowLines>
          <c:spPr>
            <a:ln>
              <a:noFill/>
            </a:ln>
          </c:spPr>
        </c:hiLowLines>
        <c:marker val="1"/>
        <c:smooth val="0"/>
        <c:axId val="207817216"/>
        <c:axId val="207675968"/>
      </c:lineChart>
      <c:catAx>
        <c:axId val="20781721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7675968"/>
        <c:crosses val="autoZero"/>
        <c:auto val="1"/>
        <c:lblAlgn val="ctr"/>
        <c:lblOffset val="100"/>
        <c:noMultiLvlLbl val="1"/>
      </c:catAx>
      <c:valAx>
        <c:axId val="20767596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7817216"/>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rolnictwo, leśnictwo, łowiectwo i rybactwo</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77</c:v>
                </c:pt>
                <c:pt idx="1">
                  <c:v>70</c:v>
                </c:pt>
                <c:pt idx="2">
                  <c:v>67</c:v>
                </c:pt>
                <c:pt idx="3">
                  <c:v>66</c:v>
                </c:pt>
                <c:pt idx="4">
                  <c:v>60</c:v>
                </c:pt>
              </c:numCache>
            </c:numRef>
          </c:val>
        </c:ser>
        <c:ser>
          <c:idx val="1"/>
          <c:order val="1"/>
          <c:tx>
            <c:strRef>
              <c:f>label 1</c:f>
              <c:strCache>
                <c:ptCount val="1"/>
                <c:pt idx="0">
                  <c:v>przemysł i budownictwo</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412</c:v>
                </c:pt>
                <c:pt idx="1">
                  <c:v>397</c:v>
                </c:pt>
                <c:pt idx="2">
                  <c:v>433</c:v>
                </c:pt>
                <c:pt idx="3">
                  <c:v>447</c:v>
                </c:pt>
                <c:pt idx="4">
                  <c:v>498</c:v>
                </c:pt>
              </c:numCache>
            </c:numRef>
          </c:val>
        </c:ser>
        <c:ser>
          <c:idx val="2"/>
          <c:order val="2"/>
          <c:tx>
            <c:strRef>
              <c:f>label 2</c:f>
              <c:strCache>
                <c:ptCount val="1"/>
                <c:pt idx="0">
                  <c:v>pozostała działalność</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1176</c:v>
                </c:pt>
                <c:pt idx="1">
                  <c:v>1166</c:v>
                </c:pt>
                <c:pt idx="2">
                  <c:v>1187</c:v>
                </c:pt>
                <c:pt idx="3">
                  <c:v>1285</c:v>
                </c:pt>
                <c:pt idx="4">
                  <c:v>1310</c:v>
                </c:pt>
              </c:numCache>
            </c:numRef>
          </c:val>
        </c:ser>
        <c:dLbls>
          <c:showLegendKey val="0"/>
          <c:showVal val="0"/>
          <c:showCatName val="0"/>
          <c:showSerName val="0"/>
          <c:showPercent val="0"/>
          <c:showBubbleSize val="0"/>
        </c:dLbls>
        <c:gapWidth val="219"/>
        <c:overlap val="-27"/>
        <c:axId val="208384512"/>
        <c:axId val="207677696"/>
      </c:barChart>
      <c:lineChart>
        <c:grouping val="standard"/>
        <c:varyColors val="0"/>
        <c:ser>
          <c:idx val="3"/>
          <c:order val="3"/>
          <c:tx>
            <c:strRef>
              <c:f>label 3</c:f>
              <c:strCache>
                <c:ptCount val="1"/>
                <c:pt idx="0">
                  <c:v>ogółem</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3</c:f>
              <c:numCache>
                <c:formatCode>General</c:formatCode>
                <c:ptCount val="5"/>
                <c:pt idx="0">
                  <c:v>1665</c:v>
                </c:pt>
                <c:pt idx="1">
                  <c:v>1633</c:v>
                </c:pt>
                <c:pt idx="2">
                  <c:v>1687</c:v>
                </c:pt>
                <c:pt idx="3">
                  <c:v>1798</c:v>
                </c:pt>
                <c:pt idx="4">
                  <c:v>1868</c:v>
                </c:pt>
              </c:numCache>
            </c:numRef>
          </c:val>
          <c:smooth val="0"/>
        </c:ser>
        <c:dLbls>
          <c:showLegendKey val="0"/>
          <c:showVal val="0"/>
          <c:showCatName val="0"/>
          <c:showSerName val="0"/>
          <c:showPercent val="0"/>
          <c:showBubbleSize val="0"/>
        </c:dLbls>
        <c:hiLowLines>
          <c:spPr>
            <a:ln>
              <a:noFill/>
            </a:ln>
          </c:spPr>
        </c:hiLowLines>
        <c:marker val="1"/>
        <c:smooth val="0"/>
        <c:axId val="208384512"/>
        <c:axId val="207677696"/>
      </c:lineChart>
      <c:catAx>
        <c:axId val="208384512"/>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7677696"/>
        <c:crosses val="autoZero"/>
        <c:auto val="1"/>
        <c:lblAlgn val="ctr"/>
        <c:lblOffset val="100"/>
        <c:noMultiLvlLbl val="1"/>
      </c:catAx>
      <c:valAx>
        <c:axId val="20767769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8384512"/>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pieChart>
        <c:varyColors val="1"/>
        <c:ser>
          <c:idx val="0"/>
          <c:order val="0"/>
          <c:tx>
            <c:strRef>
              <c:f>label 0</c:f>
              <c:strCache>
                <c:ptCount val="1"/>
                <c:pt idx="0">
                  <c:v>Seria bez nazwy 1</c:v>
                </c:pt>
              </c:strCache>
            </c:strRef>
          </c:tx>
          <c:spPr>
            <a:solidFill>
              <a:srgbClr val="5B9BD5"/>
            </a:solidFill>
            <a:ln>
              <a:noFill/>
            </a:ln>
          </c:spPr>
          <c:dPt>
            <c:idx val="0"/>
            <c:bubble3D val="0"/>
            <c:spPr>
              <a:solidFill>
                <a:srgbClr val="5B9BD5"/>
              </a:solidFill>
              <a:ln w="19080">
                <a:solidFill>
                  <a:srgbClr val="FFFFFF"/>
                </a:solidFill>
                <a:round/>
              </a:ln>
            </c:spPr>
          </c:dPt>
          <c:dPt>
            <c:idx val="1"/>
            <c:bubble3D val="0"/>
            <c:spPr>
              <a:solidFill>
                <a:srgbClr val="ED7D31"/>
              </a:solidFill>
              <a:ln w="19080">
                <a:solidFill>
                  <a:srgbClr val="FFFFFF"/>
                </a:solidFill>
                <a:round/>
              </a:ln>
            </c:spPr>
          </c:dPt>
          <c:dPt>
            <c:idx val="2"/>
            <c:bubble3D val="0"/>
            <c:spPr>
              <a:solidFill>
                <a:srgbClr val="A5A5A5"/>
              </a:solidFill>
              <a:ln w="19080">
                <a:solidFill>
                  <a:srgbClr val="FFFFFF"/>
                </a:solidFill>
                <a:round/>
              </a:ln>
            </c:spPr>
          </c:dPt>
          <c:dLbls>
            <c:txPr>
              <a:bodyPr/>
              <a:lstStyle/>
              <a:p>
                <a:pPr>
                  <a:defRPr sz="900" b="0" strike="noStrike" spc="-1">
                    <a:solidFill>
                      <a:srgbClr val="404040"/>
                    </a:solidFill>
                    <a:latin typeface="Calibri"/>
                  </a:defRPr>
                </a:pPr>
                <a:endParaRPr lang="pl-PL"/>
              </a:p>
            </c:txPr>
            <c:dLblPos val="outEnd"/>
            <c:showLegendKey val="0"/>
            <c:showVal val="0"/>
            <c:showCatName val="0"/>
            <c:showSerName val="0"/>
            <c:showPercent val="1"/>
            <c:showBubbleSize val="1"/>
            <c:separator>
</c:separator>
            <c:showLeaderLines val="0"/>
          </c:dLbls>
          <c:cat>
            <c:strRef>
              <c:f>categories</c:f>
              <c:strCache>
                <c:ptCount val="3"/>
                <c:pt idx="0">
                  <c:v>rolnictwo, leśnictwo, łowiectwo i rybactwo</c:v>
                </c:pt>
                <c:pt idx="1">
                  <c:v>przemysł i budownictwo</c:v>
                </c:pt>
                <c:pt idx="2">
                  <c:v>pozostała działalność</c:v>
                </c:pt>
              </c:strCache>
            </c:strRef>
          </c:cat>
          <c:val>
            <c:numRef>
              <c:f>0</c:f>
              <c:numCache>
                <c:formatCode>General</c:formatCode>
                <c:ptCount val="3"/>
                <c:pt idx="0">
                  <c:v>60</c:v>
                </c:pt>
                <c:pt idx="1">
                  <c:v>498</c:v>
                </c:pt>
                <c:pt idx="2">
                  <c:v>1310</c:v>
                </c:pt>
              </c:numCache>
            </c:numRef>
          </c:val>
        </c:ser>
        <c:dLbls>
          <c:showLegendKey val="0"/>
          <c:showVal val="0"/>
          <c:showCatName val="0"/>
          <c:showSerName val="0"/>
          <c:showPercent val="0"/>
          <c:showBubbleSize val="0"/>
          <c:showLeaderLines val="0"/>
        </c:dLbls>
        <c:firstSliceAng val="0"/>
      </c:pieChart>
      <c:spPr>
        <a:noFill/>
        <a:ln>
          <a:noFill/>
        </a:ln>
      </c:spPr>
    </c:plotArea>
    <c:legend>
      <c:legendPos val="r"/>
      <c:overlay val="0"/>
      <c:spPr>
        <a:noFill/>
        <a:ln>
          <a:noFill/>
        </a:ln>
      </c:spPr>
      <c:txPr>
        <a:bodyPr/>
        <a:lstStyle/>
        <a:p>
          <a:pPr>
            <a:defRPr sz="900" b="0" strike="noStrike" spc="-1">
              <a:solidFill>
                <a:srgbClr val="595959"/>
              </a:solidFill>
              <a:latin typeface="Calibri"/>
            </a:defRPr>
          </a:pPr>
          <a:endParaRPr lang="pl-PL"/>
        </a:p>
      </c:txPr>
    </c:legend>
    <c:plotVisOnly val="1"/>
    <c:dispBlanksAs val="gap"/>
    <c:showDLblsOverMax val="1"/>
  </c:chart>
  <c:spPr>
    <a:noFill/>
    <a:ln w="9360">
      <a:noFill/>
    </a:ln>
  </c:spPr>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bar"/>
        <c:grouping val="percentStacked"/>
        <c:varyColors val="0"/>
        <c:ser>
          <c:idx val="0"/>
          <c:order val="0"/>
          <c:tx>
            <c:strRef>
              <c:f>label 0</c:f>
              <c:strCache>
                <c:ptCount val="1"/>
                <c:pt idx="0">
                  <c:v>użytki rolne razem</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0</c:f>
              <c:numCache>
                <c:formatCode>General</c:formatCode>
                <c:ptCount val="5"/>
                <c:pt idx="0">
                  <c:v>0.773884275200864</c:v>
                </c:pt>
                <c:pt idx="1">
                  <c:v>0.69640664647622197</c:v>
                </c:pt>
                <c:pt idx="2">
                  <c:v>0.725072936330873</c:v>
                </c:pt>
                <c:pt idx="3">
                  <c:v>0.77002075822134797</c:v>
                </c:pt>
                <c:pt idx="4">
                  <c:v>0.541361682351574</c:v>
                </c:pt>
              </c:numCache>
            </c:numRef>
          </c:val>
        </c:ser>
        <c:ser>
          <c:idx val="1"/>
          <c:order val="1"/>
          <c:tx>
            <c:strRef>
              <c:f>label 1</c:f>
              <c:strCache>
                <c:ptCount val="1"/>
                <c:pt idx="0">
                  <c:v>grunty leśne oraz zadrzewione i zakrzewione razem</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1</c:f>
              <c:numCache>
                <c:formatCode>General</c:formatCode>
                <c:ptCount val="5"/>
                <c:pt idx="0">
                  <c:v>0.149145905070556</c:v>
                </c:pt>
                <c:pt idx="1">
                  <c:v>0.15985921257264499</c:v>
                </c:pt>
                <c:pt idx="2">
                  <c:v>0.189720267719238</c:v>
                </c:pt>
                <c:pt idx="3">
                  <c:v>0.123347536326887</c:v>
                </c:pt>
                <c:pt idx="4">
                  <c:v>0.31393052166840901</c:v>
                </c:pt>
              </c:numCache>
            </c:numRef>
          </c:val>
        </c:ser>
        <c:ser>
          <c:idx val="2"/>
          <c:order val="2"/>
          <c:tx>
            <c:strRef>
              <c:f>label 2</c:f>
              <c:strCache>
                <c:ptCount val="1"/>
                <c:pt idx="0">
                  <c:v>grunty pod wodami razem</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2</c:f>
              <c:numCache>
                <c:formatCode>General</c:formatCode>
                <c:ptCount val="5"/>
                <c:pt idx="0">
                  <c:v>1.6204172574437899E-2</c:v>
                </c:pt>
                <c:pt idx="1">
                  <c:v>6.8756650568879401E-3</c:v>
                </c:pt>
                <c:pt idx="2">
                  <c:v>8.7523597048223805E-3</c:v>
                </c:pt>
                <c:pt idx="3">
                  <c:v>2.1522997924177899E-2</c:v>
                </c:pt>
                <c:pt idx="4">
                  <c:v>5.9486464505634898E-2</c:v>
                </c:pt>
              </c:numCache>
            </c:numRef>
          </c:val>
        </c:ser>
        <c:ser>
          <c:idx val="3"/>
          <c:order val="3"/>
          <c:tx>
            <c:strRef>
              <c:f>label 3</c:f>
              <c:strCache>
                <c:ptCount val="1"/>
                <c:pt idx="0">
                  <c:v>grunty zabudowane i zurbanizowane razem</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3</c:f>
              <c:numCache>
                <c:formatCode>General</c:formatCode>
                <c:ptCount val="5"/>
                <c:pt idx="0">
                  <c:v>3.4636418877861001E-2</c:v>
                </c:pt>
                <c:pt idx="1">
                  <c:v>4.1581402963084199E-2</c:v>
                </c:pt>
                <c:pt idx="2">
                  <c:v>4.0501115496825099E-2</c:v>
                </c:pt>
                <c:pt idx="3">
                  <c:v>5.8778542554353802E-2</c:v>
                </c:pt>
                <c:pt idx="4">
                  <c:v>3.3925874288369899E-2</c:v>
                </c:pt>
              </c:numCache>
            </c:numRef>
          </c:val>
        </c:ser>
        <c:ser>
          <c:idx val="4"/>
          <c:order val="4"/>
          <c:tx>
            <c:strRef>
              <c:f>label 4</c:f>
              <c:strCache>
                <c:ptCount val="1"/>
                <c:pt idx="0">
                  <c:v>użytki ekologiczne</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4</c:f>
              <c:numCache>
                <c:formatCode>General</c:formatCode>
                <c:ptCount val="5"/>
                <c:pt idx="0">
                  <c:v>5.7389777867801004E-3</c:v>
                </c:pt>
                <c:pt idx="1">
                  <c:v>7.1212245232053703E-2</c:v>
                </c:pt>
                <c:pt idx="2">
                  <c:v>0</c:v>
                </c:pt>
                <c:pt idx="3">
                  <c:v>0</c:v>
                </c:pt>
                <c:pt idx="4">
                  <c:v>0</c:v>
                </c:pt>
              </c:numCache>
            </c:numRef>
          </c:val>
        </c:ser>
        <c:ser>
          <c:idx val="5"/>
          <c:order val="5"/>
          <c:tx>
            <c:strRef>
              <c:f>label 5</c:f>
              <c:strCache>
                <c:ptCount val="1"/>
                <c:pt idx="0">
                  <c:v>grunty rolne - nieużytki</c:v>
                </c:pt>
              </c:strCache>
            </c:strRef>
          </c:tx>
          <c:spPr>
            <a:solidFill>
              <a:srgbClr val="70AD47"/>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5</c:f>
              <c:numCache>
                <c:formatCode>General</c:formatCode>
                <c:ptCount val="5"/>
                <c:pt idx="0">
                  <c:v>2.03227331037742E-2</c:v>
                </c:pt>
                <c:pt idx="1">
                  <c:v>2.3982974543668701E-2</c:v>
                </c:pt>
                <c:pt idx="2">
                  <c:v>3.5953320748240897E-2</c:v>
                </c:pt>
                <c:pt idx="3">
                  <c:v>1.9228668196219802E-2</c:v>
                </c:pt>
                <c:pt idx="4">
                  <c:v>5.0946903683048703E-2</c:v>
                </c:pt>
              </c:numCache>
            </c:numRef>
          </c:val>
        </c:ser>
        <c:ser>
          <c:idx val="6"/>
          <c:order val="6"/>
          <c:tx>
            <c:strRef>
              <c:f>label 6</c:f>
              <c:strCache>
                <c:ptCount val="1"/>
                <c:pt idx="0">
                  <c:v>tereny różne</c:v>
                </c:pt>
              </c:strCache>
            </c:strRef>
          </c:tx>
          <c:spPr>
            <a:solidFill>
              <a:srgbClr val="255E91"/>
            </a:solidFill>
            <a:ln>
              <a:noFill/>
            </a:ln>
          </c:spPr>
          <c:invertIfNegative val="0"/>
          <c:dLbls>
            <c:txPr>
              <a:bodyPr/>
              <a:lstStyle/>
              <a:p>
                <a:pPr>
                  <a:defRPr sz="10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6</c:f>
              <c:numCache>
                <c:formatCode>General</c:formatCode>
                <c:ptCount val="5"/>
                <c:pt idx="0">
                  <c:v>6.7517385726824705E-5</c:v>
                </c:pt>
                <c:pt idx="1">
                  <c:v>8.1853155439142207E-5</c:v>
                </c:pt>
                <c:pt idx="2">
                  <c:v>0</c:v>
                </c:pt>
                <c:pt idx="3">
                  <c:v>7.1014967770129996E-3</c:v>
                </c:pt>
                <c:pt idx="4">
                  <c:v>3.4855350296270499E-4</c:v>
                </c:pt>
              </c:numCache>
            </c:numRef>
          </c:val>
        </c:ser>
        <c:dLbls>
          <c:showLegendKey val="0"/>
          <c:showVal val="0"/>
          <c:showCatName val="0"/>
          <c:showSerName val="0"/>
          <c:showPercent val="0"/>
          <c:showBubbleSize val="0"/>
        </c:dLbls>
        <c:gapWidth val="150"/>
        <c:overlap val="100"/>
        <c:axId val="147140096"/>
        <c:axId val="171545088"/>
      </c:barChart>
      <c:catAx>
        <c:axId val="147140096"/>
        <c:scaling>
          <c:orientation val="minMax"/>
        </c:scaling>
        <c:delete val="0"/>
        <c:axPos val="l"/>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171545088"/>
        <c:crosses val="autoZero"/>
        <c:auto val="1"/>
        <c:lblAlgn val="ctr"/>
        <c:lblOffset val="100"/>
        <c:noMultiLvlLbl val="1"/>
      </c:catAx>
      <c:valAx>
        <c:axId val="171545088"/>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147140096"/>
        <c:crosses val="autoZero"/>
        <c:crossBetween val="between"/>
      </c:valAx>
      <c:spPr>
        <a:noFill/>
        <a:ln>
          <a:noFill/>
        </a:ln>
      </c:spPr>
    </c:plotArea>
    <c:legend>
      <c:legendPos val="r"/>
      <c:overlay val="0"/>
      <c:spPr>
        <a:noFill/>
        <a:ln>
          <a:noFill/>
        </a:ln>
      </c:spPr>
      <c:txPr>
        <a:bodyPr/>
        <a:lstStyle/>
        <a:p>
          <a:pPr>
            <a:defRPr sz="900" b="0" strike="noStrike" spc="-1">
              <a:solidFill>
                <a:srgbClr val="595959"/>
              </a:solidFill>
              <a:latin typeface="Calibri"/>
            </a:defRPr>
          </a:pPr>
          <a:endParaRPr lang="pl-PL"/>
        </a:p>
      </c:txPr>
    </c:legend>
    <c:plotVisOnly val="1"/>
    <c:dispBlanksAs val="gap"/>
    <c:showDLblsOverMax val="1"/>
  </c:chart>
  <c:spPr>
    <a:noFill/>
    <a:ln w="9360">
      <a:noFill/>
    </a:ln>
  </c:spPr>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nowo zarejestrowane</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175</c:v>
                </c:pt>
                <c:pt idx="1">
                  <c:v>126</c:v>
                </c:pt>
                <c:pt idx="2">
                  <c:v>177</c:v>
                </c:pt>
                <c:pt idx="3">
                  <c:v>236</c:v>
                </c:pt>
                <c:pt idx="4">
                  <c:v>196</c:v>
                </c:pt>
              </c:numCache>
            </c:numRef>
          </c:val>
          <c:smooth val="0"/>
        </c:ser>
        <c:ser>
          <c:idx val="1"/>
          <c:order val="1"/>
          <c:tx>
            <c:strRef>
              <c:f>label 1</c:f>
              <c:strCache>
                <c:ptCount val="1"/>
                <c:pt idx="0">
                  <c:v>wyrejestrowane</c:v>
                </c:pt>
              </c:strCache>
            </c:strRef>
          </c:tx>
          <c:spPr>
            <a:ln w="28440">
              <a:solidFill>
                <a:srgbClr val="ED7D31"/>
              </a:solidFill>
              <a:round/>
            </a:ln>
          </c:spPr>
          <c:marker>
            <c:symbol val="circle"/>
            <c:size val="5"/>
            <c:spPr>
              <a:solidFill>
                <a:srgbClr val="ED7D31"/>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128</c:v>
                </c:pt>
                <c:pt idx="1">
                  <c:v>139</c:v>
                </c:pt>
                <c:pt idx="2">
                  <c:v>135</c:v>
                </c:pt>
                <c:pt idx="3">
                  <c:v>107</c:v>
                </c:pt>
                <c:pt idx="4">
                  <c:v>112</c:v>
                </c:pt>
              </c:numCache>
            </c:numRef>
          </c:val>
          <c:smooth val="0"/>
        </c:ser>
        <c:dLbls>
          <c:showLegendKey val="0"/>
          <c:showVal val="0"/>
          <c:showCatName val="0"/>
          <c:showSerName val="0"/>
          <c:showPercent val="0"/>
          <c:showBubbleSize val="0"/>
        </c:dLbls>
        <c:hiLowLines>
          <c:spPr>
            <a:ln>
              <a:noFill/>
            </a:ln>
          </c:spPr>
        </c:hiLowLines>
        <c:marker val="1"/>
        <c:smooth val="0"/>
        <c:axId val="208385536"/>
        <c:axId val="207680576"/>
      </c:lineChart>
      <c:catAx>
        <c:axId val="20838553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7680576"/>
        <c:crosses val="autoZero"/>
        <c:auto val="1"/>
        <c:lblAlgn val="ctr"/>
        <c:lblOffset val="100"/>
        <c:noMultiLvlLbl val="1"/>
      </c:catAx>
      <c:valAx>
        <c:axId val="20768057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8385536"/>
        <c:crosses val="autoZero"/>
        <c:crossBetween val="midCat"/>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bar"/>
        <c:grouping val="clustered"/>
        <c:varyColors val="0"/>
        <c:ser>
          <c:idx val="0"/>
          <c:order val="0"/>
          <c:tx>
            <c:strRef>
              <c:f>label 0</c:f>
              <c:strCache>
                <c:ptCount val="1"/>
                <c:pt idx="0">
                  <c:v>Cyców</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0</c:f>
              <c:numCache>
                <c:formatCode>General</c:formatCode>
                <c:ptCount val="10"/>
                <c:pt idx="0">
                  <c:v>45</c:v>
                </c:pt>
                <c:pt idx="1">
                  <c:v>26</c:v>
                </c:pt>
                <c:pt idx="2">
                  <c:v>21</c:v>
                </c:pt>
                <c:pt idx="3">
                  <c:v>37</c:v>
                </c:pt>
                <c:pt idx="4">
                  <c:v>38</c:v>
                </c:pt>
                <c:pt idx="5">
                  <c:v>28</c:v>
                </c:pt>
                <c:pt idx="6">
                  <c:v>48</c:v>
                </c:pt>
                <c:pt idx="7">
                  <c:v>25</c:v>
                </c:pt>
                <c:pt idx="8">
                  <c:v>31</c:v>
                </c:pt>
                <c:pt idx="9">
                  <c:v>25</c:v>
                </c:pt>
              </c:numCache>
            </c:numRef>
          </c:val>
        </c:ser>
        <c:ser>
          <c:idx val="1"/>
          <c:order val="1"/>
          <c:tx>
            <c:strRef>
              <c:f>label 1</c:f>
              <c:strCache>
                <c:ptCount val="1"/>
                <c:pt idx="0">
                  <c:v>Ludwin</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1</c:f>
              <c:numCache>
                <c:formatCode>General</c:formatCode>
                <c:ptCount val="10"/>
                <c:pt idx="0">
                  <c:v>25</c:v>
                </c:pt>
                <c:pt idx="1">
                  <c:v>12</c:v>
                </c:pt>
                <c:pt idx="2">
                  <c:v>22</c:v>
                </c:pt>
                <c:pt idx="3">
                  <c:v>17</c:v>
                </c:pt>
                <c:pt idx="4">
                  <c:v>35</c:v>
                </c:pt>
                <c:pt idx="5">
                  <c:v>25</c:v>
                </c:pt>
                <c:pt idx="6">
                  <c:v>40</c:v>
                </c:pt>
                <c:pt idx="7">
                  <c:v>21</c:v>
                </c:pt>
                <c:pt idx="8">
                  <c:v>40</c:v>
                </c:pt>
                <c:pt idx="9">
                  <c:v>11</c:v>
                </c:pt>
              </c:numCache>
            </c:numRef>
          </c:val>
        </c:ser>
        <c:ser>
          <c:idx val="2"/>
          <c:order val="2"/>
          <c:tx>
            <c:strRef>
              <c:f>label 2</c:f>
              <c:strCache>
                <c:ptCount val="1"/>
                <c:pt idx="0">
                  <c:v>Milejów</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2</c:f>
              <c:numCache>
                <c:formatCode>General</c:formatCode>
                <c:ptCount val="10"/>
                <c:pt idx="0">
                  <c:v>47</c:v>
                </c:pt>
                <c:pt idx="1">
                  <c:v>44</c:v>
                </c:pt>
                <c:pt idx="2">
                  <c:v>42</c:v>
                </c:pt>
                <c:pt idx="3">
                  <c:v>41</c:v>
                </c:pt>
                <c:pt idx="4">
                  <c:v>42</c:v>
                </c:pt>
                <c:pt idx="5">
                  <c:v>38</c:v>
                </c:pt>
                <c:pt idx="6">
                  <c:v>71</c:v>
                </c:pt>
                <c:pt idx="7">
                  <c:v>24</c:v>
                </c:pt>
                <c:pt idx="8">
                  <c:v>61</c:v>
                </c:pt>
                <c:pt idx="9">
                  <c:v>31</c:v>
                </c:pt>
              </c:numCache>
            </c:numRef>
          </c:val>
        </c:ser>
        <c:ser>
          <c:idx val="3"/>
          <c:order val="3"/>
          <c:tx>
            <c:strRef>
              <c:f>label 3</c:f>
              <c:strCache>
                <c:ptCount val="1"/>
                <c:pt idx="0">
                  <c:v>Puchaczów</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3</c:f>
              <c:numCache>
                <c:formatCode>General</c:formatCode>
                <c:ptCount val="10"/>
                <c:pt idx="0">
                  <c:v>33</c:v>
                </c:pt>
                <c:pt idx="1">
                  <c:v>22</c:v>
                </c:pt>
                <c:pt idx="2">
                  <c:v>26</c:v>
                </c:pt>
                <c:pt idx="3">
                  <c:v>20</c:v>
                </c:pt>
                <c:pt idx="4">
                  <c:v>34</c:v>
                </c:pt>
                <c:pt idx="5">
                  <c:v>24</c:v>
                </c:pt>
                <c:pt idx="6">
                  <c:v>41</c:v>
                </c:pt>
                <c:pt idx="7">
                  <c:v>17</c:v>
                </c:pt>
                <c:pt idx="8">
                  <c:v>36</c:v>
                </c:pt>
                <c:pt idx="9">
                  <c:v>33</c:v>
                </c:pt>
              </c:numCache>
            </c:numRef>
          </c:val>
        </c:ser>
        <c:ser>
          <c:idx val="4"/>
          <c:order val="4"/>
          <c:tx>
            <c:strRef>
              <c:f>label 4</c:f>
              <c:strCache>
                <c:ptCount val="1"/>
                <c:pt idx="0">
                  <c:v>Urszulin</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4</c:f>
              <c:numCache>
                <c:formatCode>General</c:formatCode>
                <c:ptCount val="10"/>
                <c:pt idx="0">
                  <c:v>25</c:v>
                </c:pt>
                <c:pt idx="1">
                  <c:v>24</c:v>
                </c:pt>
                <c:pt idx="2">
                  <c:v>15</c:v>
                </c:pt>
                <c:pt idx="3">
                  <c:v>24</c:v>
                </c:pt>
                <c:pt idx="4">
                  <c:v>28</c:v>
                </c:pt>
                <c:pt idx="5">
                  <c:v>20</c:v>
                </c:pt>
                <c:pt idx="6">
                  <c:v>36</c:v>
                </c:pt>
                <c:pt idx="7">
                  <c:v>20</c:v>
                </c:pt>
                <c:pt idx="8">
                  <c:v>28</c:v>
                </c:pt>
                <c:pt idx="9">
                  <c:v>12</c:v>
                </c:pt>
              </c:numCache>
            </c:numRef>
          </c:val>
        </c:ser>
        <c:dLbls>
          <c:showLegendKey val="0"/>
          <c:showVal val="0"/>
          <c:showCatName val="0"/>
          <c:showSerName val="0"/>
          <c:showPercent val="0"/>
          <c:showBubbleSize val="0"/>
        </c:dLbls>
        <c:gapWidth val="182"/>
        <c:axId val="206258688"/>
        <c:axId val="207682304"/>
      </c:barChart>
      <c:catAx>
        <c:axId val="206258688"/>
        <c:scaling>
          <c:orientation val="minMax"/>
        </c:scaling>
        <c:delete val="0"/>
        <c:axPos val="l"/>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7682304"/>
        <c:crosses val="autoZero"/>
        <c:auto val="1"/>
        <c:lblAlgn val="ctr"/>
        <c:lblOffset val="100"/>
        <c:noMultiLvlLbl val="1"/>
      </c:catAx>
      <c:valAx>
        <c:axId val="207682304"/>
        <c:scaling>
          <c:orientation val="minMax"/>
        </c:scaling>
        <c:delete val="0"/>
        <c:axPos val="b"/>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258688"/>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podmioty wpisane do rejestru na 1000 ludności</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53.2</c:v>
                </c:pt>
                <c:pt idx="1">
                  <c:v>51.8</c:v>
                </c:pt>
                <c:pt idx="2">
                  <c:v>53.4</c:v>
                </c:pt>
                <c:pt idx="3">
                  <c:v>56.8</c:v>
                </c:pt>
                <c:pt idx="4">
                  <c:v>59</c:v>
                </c:pt>
              </c:numCache>
            </c:numRef>
          </c:val>
          <c:smooth val="0"/>
        </c:ser>
        <c:ser>
          <c:idx val="1"/>
          <c:order val="1"/>
          <c:tx>
            <c:strRef>
              <c:f>label 1</c:f>
              <c:strCache>
                <c:ptCount val="1"/>
                <c:pt idx="0">
                  <c:v>podmioty na 1000 mieszkańców w wieku produkcyjnym</c:v>
                </c:pt>
              </c:strCache>
            </c:strRef>
          </c:tx>
          <c:spPr>
            <a:ln w="28440">
              <a:solidFill>
                <a:srgbClr val="ED7D31"/>
              </a:solidFill>
              <a:round/>
            </a:ln>
          </c:spPr>
          <c:marker>
            <c:symbol val="circle"/>
            <c:size val="5"/>
            <c:spPr>
              <a:solidFill>
                <a:srgbClr val="ED7D31"/>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85.56</c:v>
                </c:pt>
                <c:pt idx="1">
                  <c:v>84.08</c:v>
                </c:pt>
                <c:pt idx="2">
                  <c:v>87.24</c:v>
                </c:pt>
                <c:pt idx="3">
                  <c:v>92.68</c:v>
                </c:pt>
                <c:pt idx="4">
                  <c:v>96.92</c:v>
                </c:pt>
              </c:numCache>
            </c:numRef>
          </c:val>
          <c:smooth val="0"/>
        </c:ser>
        <c:ser>
          <c:idx val="2"/>
          <c:order val="2"/>
          <c:tx>
            <c:strRef>
              <c:f>label 2</c:f>
              <c:strCache>
                <c:ptCount val="1"/>
                <c:pt idx="0">
                  <c:v>osoby fizyczne prowadzące działalność gospodarczą na 1000 ludności</c:v>
                </c:pt>
              </c:strCache>
            </c:strRef>
          </c:tx>
          <c:spPr>
            <a:ln w="28440">
              <a:solidFill>
                <a:srgbClr val="A5A5A5"/>
              </a:solidFill>
              <a:round/>
            </a:ln>
          </c:spPr>
          <c:marker>
            <c:symbol val="circle"/>
            <c:size val="5"/>
            <c:spPr>
              <a:solidFill>
                <a:srgbClr val="A5A5A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39.200000000000003</c:v>
                </c:pt>
                <c:pt idx="1">
                  <c:v>37.6</c:v>
                </c:pt>
                <c:pt idx="2">
                  <c:v>39.200000000000003</c:v>
                </c:pt>
                <c:pt idx="3">
                  <c:v>41.2</c:v>
                </c:pt>
                <c:pt idx="4">
                  <c:v>43.4</c:v>
                </c:pt>
              </c:numCache>
            </c:numRef>
          </c:val>
          <c:smooth val="0"/>
        </c:ser>
        <c:dLbls>
          <c:showLegendKey val="0"/>
          <c:showVal val="0"/>
          <c:showCatName val="0"/>
          <c:showSerName val="0"/>
          <c:showPercent val="0"/>
          <c:showBubbleSize val="0"/>
        </c:dLbls>
        <c:hiLowLines>
          <c:spPr>
            <a:ln>
              <a:noFill/>
            </a:ln>
          </c:spPr>
        </c:hiLowLines>
        <c:marker val="1"/>
        <c:smooth val="0"/>
        <c:axId val="208387072"/>
        <c:axId val="206332480"/>
      </c:lineChart>
      <c:catAx>
        <c:axId val="208387072"/>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6332480"/>
        <c:crosses val="autoZero"/>
        <c:auto val="1"/>
        <c:lblAlgn val="ctr"/>
        <c:lblOffset val="100"/>
        <c:noMultiLvlLbl val="1"/>
      </c:catAx>
      <c:valAx>
        <c:axId val="206332480"/>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8387072"/>
        <c:crosses val="autoZero"/>
        <c:crossBetween val="midCat"/>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7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9"/>
                <c:pt idx="0">
                  <c:v>Sekcja G</c:v>
                </c:pt>
                <c:pt idx="1">
                  <c:v>Sekcja F</c:v>
                </c:pt>
                <c:pt idx="2">
                  <c:v>Sekcja S i T</c:v>
                </c:pt>
                <c:pt idx="3">
                  <c:v>Sekcja C</c:v>
                </c:pt>
                <c:pt idx="4">
                  <c:v>Sekcja H</c:v>
                </c:pt>
                <c:pt idx="5">
                  <c:v>Sekcja M</c:v>
                </c:pt>
                <c:pt idx="6">
                  <c:v>Sekcja P</c:v>
                </c:pt>
                <c:pt idx="7">
                  <c:v>Sekcja Q</c:v>
                </c:pt>
                <c:pt idx="8">
                  <c:v>Sekcja A</c:v>
                </c:pt>
                <c:pt idx="9">
                  <c:v>Sekcja O</c:v>
                </c:pt>
                <c:pt idx="10">
                  <c:v>Sekcja N</c:v>
                </c:pt>
                <c:pt idx="11">
                  <c:v>Sekcja R</c:v>
                </c:pt>
                <c:pt idx="12">
                  <c:v>Sekcja I</c:v>
                </c:pt>
                <c:pt idx="13">
                  <c:v>Sekcja L</c:v>
                </c:pt>
                <c:pt idx="14">
                  <c:v>Sekcja J</c:v>
                </c:pt>
                <c:pt idx="15">
                  <c:v>Sekcja K</c:v>
                </c:pt>
                <c:pt idx="16">
                  <c:v>Sekcja B</c:v>
                </c:pt>
                <c:pt idx="17">
                  <c:v>Sekcja E</c:v>
                </c:pt>
                <c:pt idx="18">
                  <c:v>Sekcja D</c:v>
                </c:pt>
              </c:strCache>
            </c:strRef>
          </c:cat>
          <c:val>
            <c:numRef>
              <c:f>0</c:f>
              <c:numCache>
                <c:formatCode>General</c:formatCode>
                <c:ptCount val="19"/>
                <c:pt idx="0">
                  <c:v>415</c:v>
                </c:pt>
                <c:pt idx="1">
                  <c:v>239</c:v>
                </c:pt>
                <c:pt idx="2">
                  <c:v>162</c:v>
                </c:pt>
                <c:pt idx="3">
                  <c:v>149</c:v>
                </c:pt>
                <c:pt idx="4">
                  <c:v>102</c:v>
                </c:pt>
                <c:pt idx="5">
                  <c:v>76</c:v>
                </c:pt>
                <c:pt idx="6">
                  <c:v>85</c:v>
                </c:pt>
                <c:pt idx="7">
                  <c:v>64</c:v>
                </c:pt>
                <c:pt idx="8">
                  <c:v>77</c:v>
                </c:pt>
                <c:pt idx="9">
                  <c:v>55</c:v>
                </c:pt>
                <c:pt idx="10">
                  <c:v>33</c:v>
                </c:pt>
                <c:pt idx="11">
                  <c:v>48</c:v>
                </c:pt>
                <c:pt idx="12">
                  <c:v>40</c:v>
                </c:pt>
                <c:pt idx="13">
                  <c:v>29</c:v>
                </c:pt>
                <c:pt idx="14">
                  <c:v>22</c:v>
                </c:pt>
                <c:pt idx="15">
                  <c:v>41</c:v>
                </c:pt>
                <c:pt idx="16">
                  <c:v>10</c:v>
                </c:pt>
                <c:pt idx="17">
                  <c:v>11</c:v>
                </c:pt>
                <c:pt idx="18">
                  <c:v>3</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7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9"/>
                <c:pt idx="0">
                  <c:v>Sekcja G</c:v>
                </c:pt>
                <c:pt idx="1">
                  <c:v>Sekcja F</c:v>
                </c:pt>
                <c:pt idx="2">
                  <c:v>Sekcja S i T</c:v>
                </c:pt>
                <c:pt idx="3">
                  <c:v>Sekcja C</c:v>
                </c:pt>
                <c:pt idx="4">
                  <c:v>Sekcja H</c:v>
                </c:pt>
                <c:pt idx="5">
                  <c:v>Sekcja M</c:v>
                </c:pt>
                <c:pt idx="6">
                  <c:v>Sekcja P</c:v>
                </c:pt>
                <c:pt idx="7">
                  <c:v>Sekcja Q</c:v>
                </c:pt>
                <c:pt idx="8">
                  <c:v>Sekcja A</c:v>
                </c:pt>
                <c:pt idx="9">
                  <c:v>Sekcja O</c:v>
                </c:pt>
                <c:pt idx="10">
                  <c:v>Sekcja N</c:v>
                </c:pt>
                <c:pt idx="11">
                  <c:v>Sekcja R</c:v>
                </c:pt>
                <c:pt idx="12">
                  <c:v>Sekcja I</c:v>
                </c:pt>
                <c:pt idx="13">
                  <c:v>Sekcja L</c:v>
                </c:pt>
                <c:pt idx="14">
                  <c:v>Sekcja J</c:v>
                </c:pt>
                <c:pt idx="15">
                  <c:v>Sekcja K</c:v>
                </c:pt>
                <c:pt idx="16">
                  <c:v>Sekcja B</c:v>
                </c:pt>
                <c:pt idx="17">
                  <c:v>Sekcja E</c:v>
                </c:pt>
                <c:pt idx="18">
                  <c:v>Sekcja D</c:v>
                </c:pt>
              </c:strCache>
            </c:strRef>
          </c:cat>
          <c:val>
            <c:numRef>
              <c:f>1</c:f>
              <c:numCache>
                <c:formatCode>General</c:formatCode>
                <c:ptCount val="19"/>
                <c:pt idx="0">
                  <c:v>402</c:v>
                </c:pt>
                <c:pt idx="1">
                  <c:v>225</c:v>
                </c:pt>
                <c:pt idx="2">
                  <c:v>163</c:v>
                </c:pt>
                <c:pt idx="3">
                  <c:v>147</c:v>
                </c:pt>
                <c:pt idx="4">
                  <c:v>97</c:v>
                </c:pt>
                <c:pt idx="5">
                  <c:v>77</c:v>
                </c:pt>
                <c:pt idx="6">
                  <c:v>87</c:v>
                </c:pt>
                <c:pt idx="7">
                  <c:v>65</c:v>
                </c:pt>
                <c:pt idx="8">
                  <c:v>70</c:v>
                </c:pt>
                <c:pt idx="9">
                  <c:v>55</c:v>
                </c:pt>
                <c:pt idx="10">
                  <c:v>33</c:v>
                </c:pt>
                <c:pt idx="11">
                  <c:v>47</c:v>
                </c:pt>
                <c:pt idx="12">
                  <c:v>42</c:v>
                </c:pt>
                <c:pt idx="13">
                  <c:v>31</c:v>
                </c:pt>
                <c:pt idx="14">
                  <c:v>21</c:v>
                </c:pt>
                <c:pt idx="15">
                  <c:v>39</c:v>
                </c:pt>
                <c:pt idx="16">
                  <c:v>11</c:v>
                </c:pt>
                <c:pt idx="17">
                  <c:v>12</c:v>
                </c:pt>
                <c:pt idx="18">
                  <c:v>2</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7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9"/>
                <c:pt idx="0">
                  <c:v>Sekcja G</c:v>
                </c:pt>
                <c:pt idx="1">
                  <c:v>Sekcja F</c:v>
                </c:pt>
                <c:pt idx="2">
                  <c:v>Sekcja S i T</c:v>
                </c:pt>
                <c:pt idx="3">
                  <c:v>Sekcja C</c:v>
                </c:pt>
                <c:pt idx="4">
                  <c:v>Sekcja H</c:v>
                </c:pt>
                <c:pt idx="5">
                  <c:v>Sekcja M</c:v>
                </c:pt>
                <c:pt idx="6">
                  <c:v>Sekcja P</c:v>
                </c:pt>
                <c:pt idx="7">
                  <c:v>Sekcja Q</c:v>
                </c:pt>
                <c:pt idx="8">
                  <c:v>Sekcja A</c:v>
                </c:pt>
                <c:pt idx="9">
                  <c:v>Sekcja O</c:v>
                </c:pt>
                <c:pt idx="10">
                  <c:v>Sekcja N</c:v>
                </c:pt>
                <c:pt idx="11">
                  <c:v>Sekcja R</c:v>
                </c:pt>
                <c:pt idx="12">
                  <c:v>Sekcja I</c:v>
                </c:pt>
                <c:pt idx="13">
                  <c:v>Sekcja L</c:v>
                </c:pt>
                <c:pt idx="14">
                  <c:v>Sekcja J</c:v>
                </c:pt>
                <c:pt idx="15">
                  <c:v>Sekcja K</c:v>
                </c:pt>
                <c:pt idx="16">
                  <c:v>Sekcja B</c:v>
                </c:pt>
                <c:pt idx="17">
                  <c:v>Sekcja E</c:v>
                </c:pt>
                <c:pt idx="18">
                  <c:v>Sekcja D</c:v>
                </c:pt>
              </c:strCache>
            </c:strRef>
          </c:cat>
          <c:val>
            <c:numRef>
              <c:f>2</c:f>
              <c:numCache>
                <c:formatCode>General</c:formatCode>
                <c:ptCount val="19"/>
                <c:pt idx="0">
                  <c:v>396</c:v>
                </c:pt>
                <c:pt idx="1">
                  <c:v>253</c:v>
                </c:pt>
                <c:pt idx="2">
                  <c:v>172</c:v>
                </c:pt>
                <c:pt idx="3">
                  <c:v>154</c:v>
                </c:pt>
                <c:pt idx="4">
                  <c:v>100</c:v>
                </c:pt>
                <c:pt idx="5">
                  <c:v>77</c:v>
                </c:pt>
                <c:pt idx="6">
                  <c:v>87</c:v>
                </c:pt>
                <c:pt idx="7">
                  <c:v>71</c:v>
                </c:pt>
                <c:pt idx="8">
                  <c:v>67</c:v>
                </c:pt>
                <c:pt idx="9">
                  <c:v>55</c:v>
                </c:pt>
                <c:pt idx="10">
                  <c:v>45</c:v>
                </c:pt>
                <c:pt idx="11">
                  <c:v>48</c:v>
                </c:pt>
                <c:pt idx="12">
                  <c:v>39</c:v>
                </c:pt>
                <c:pt idx="13">
                  <c:v>34</c:v>
                </c:pt>
                <c:pt idx="14">
                  <c:v>21</c:v>
                </c:pt>
                <c:pt idx="15">
                  <c:v>36</c:v>
                </c:pt>
                <c:pt idx="16">
                  <c:v>11</c:v>
                </c:pt>
                <c:pt idx="17">
                  <c:v>12</c:v>
                </c:pt>
                <c:pt idx="18">
                  <c:v>3</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7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9"/>
                <c:pt idx="0">
                  <c:v>Sekcja G</c:v>
                </c:pt>
                <c:pt idx="1">
                  <c:v>Sekcja F</c:v>
                </c:pt>
                <c:pt idx="2">
                  <c:v>Sekcja S i T</c:v>
                </c:pt>
                <c:pt idx="3">
                  <c:v>Sekcja C</c:v>
                </c:pt>
                <c:pt idx="4">
                  <c:v>Sekcja H</c:v>
                </c:pt>
                <c:pt idx="5">
                  <c:v>Sekcja M</c:v>
                </c:pt>
                <c:pt idx="6">
                  <c:v>Sekcja P</c:v>
                </c:pt>
                <c:pt idx="7">
                  <c:v>Sekcja Q</c:v>
                </c:pt>
                <c:pt idx="8">
                  <c:v>Sekcja A</c:v>
                </c:pt>
                <c:pt idx="9">
                  <c:v>Sekcja O</c:v>
                </c:pt>
                <c:pt idx="10">
                  <c:v>Sekcja N</c:v>
                </c:pt>
                <c:pt idx="11">
                  <c:v>Sekcja R</c:v>
                </c:pt>
                <c:pt idx="12">
                  <c:v>Sekcja I</c:v>
                </c:pt>
                <c:pt idx="13">
                  <c:v>Sekcja L</c:v>
                </c:pt>
                <c:pt idx="14">
                  <c:v>Sekcja J</c:v>
                </c:pt>
                <c:pt idx="15">
                  <c:v>Sekcja K</c:v>
                </c:pt>
                <c:pt idx="16">
                  <c:v>Sekcja B</c:v>
                </c:pt>
                <c:pt idx="17">
                  <c:v>Sekcja E</c:v>
                </c:pt>
                <c:pt idx="18">
                  <c:v>Sekcja D</c:v>
                </c:pt>
              </c:strCache>
            </c:strRef>
          </c:cat>
          <c:val>
            <c:numRef>
              <c:f>3</c:f>
              <c:numCache>
                <c:formatCode>General</c:formatCode>
                <c:ptCount val="19"/>
                <c:pt idx="0">
                  <c:v>413</c:v>
                </c:pt>
                <c:pt idx="1">
                  <c:v>272</c:v>
                </c:pt>
                <c:pt idx="2">
                  <c:v>211</c:v>
                </c:pt>
                <c:pt idx="3">
                  <c:v>150</c:v>
                </c:pt>
                <c:pt idx="4">
                  <c:v>116</c:v>
                </c:pt>
                <c:pt idx="5">
                  <c:v>86</c:v>
                </c:pt>
                <c:pt idx="6">
                  <c:v>91</c:v>
                </c:pt>
                <c:pt idx="7">
                  <c:v>74</c:v>
                </c:pt>
                <c:pt idx="8">
                  <c:v>66</c:v>
                </c:pt>
                <c:pt idx="9">
                  <c:v>53</c:v>
                </c:pt>
                <c:pt idx="10">
                  <c:v>47</c:v>
                </c:pt>
                <c:pt idx="11">
                  <c:v>49</c:v>
                </c:pt>
                <c:pt idx="12">
                  <c:v>40</c:v>
                </c:pt>
                <c:pt idx="13">
                  <c:v>33</c:v>
                </c:pt>
                <c:pt idx="14">
                  <c:v>26</c:v>
                </c:pt>
                <c:pt idx="15">
                  <c:v>37</c:v>
                </c:pt>
                <c:pt idx="16">
                  <c:v>10</c:v>
                </c:pt>
                <c:pt idx="17">
                  <c:v>11</c:v>
                </c:pt>
                <c:pt idx="18">
                  <c:v>4</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7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9"/>
                <c:pt idx="0">
                  <c:v>Sekcja G</c:v>
                </c:pt>
                <c:pt idx="1">
                  <c:v>Sekcja F</c:v>
                </c:pt>
                <c:pt idx="2">
                  <c:v>Sekcja S i T</c:v>
                </c:pt>
                <c:pt idx="3">
                  <c:v>Sekcja C</c:v>
                </c:pt>
                <c:pt idx="4">
                  <c:v>Sekcja H</c:v>
                </c:pt>
                <c:pt idx="5">
                  <c:v>Sekcja M</c:v>
                </c:pt>
                <c:pt idx="6">
                  <c:v>Sekcja P</c:v>
                </c:pt>
                <c:pt idx="7">
                  <c:v>Sekcja Q</c:v>
                </c:pt>
                <c:pt idx="8">
                  <c:v>Sekcja A</c:v>
                </c:pt>
                <c:pt idx="9">
                  <c:v>Sekcja O</c:v>
                </c:pt>
                <c:pt idx="10">
                  <c:v>Sekcja N</c:v>
                </c:pt>
                <c:pt idx="11">
                  <c:v>Sekcja R</c:v>
                </c:pt>
                <c:pt idx="12">
                  <c:v>Sekcja I</c:v>
                </c:pt>
                <c:pt idx="13">
                  <c:v>Sekcja L</c:v>
                </c:pt>
                <c:pt idx="14">
                  <c:v>Sekcja J</c:v>
                </c:pt>
                <c:pt idx="15">
                  <c:v>Sekcja K</c:v>
                </c:pt>
                <c:pt idx="16">
                  <c:v>Sekcja B</c:v>
                </c:pt>
                <c:pt idx="17">
                  <c:v>Sekcja E</c:v>
                </c:pt>
                <c:pt idx="18">
                  <c:v>Sekcja D</c:v>
                </c:pt>
              </c:strCache>
            </c:strRef>
          </c:cat>
          <c:val>
            <c:numRef>
              <c:f>4</c:f>
              <c:numCache>
                <c:formatCode>General</c:formatCode>
                <c:ptCount val="19"/>
                <c:pt idx="0">
                  <c:v>399</c:v>
                </c:pt>
                <c:pt idx="1">
                  <c:v>320</c:v>
                </c:pt>
                <c:pt idx="2">
                  <c:v>230</c:v>
                </c:pt>
                <c:pt idx="3">
                  <c:v>155</c:v>
                </c:pt>
                <c:pt idx="4">
                  <c:v>111</c:v>
                </c:pt>
                <c:pt idx="5">
                  <c:v>102</c:v>
                </c:pt>
                <c:pt idx="6">
                  <c:v>84</c:v>
                </c:pt>
                <c:pt idx="7">
                  <c:v>78</c:v>
                </c:pt>
                <c:pt idx="8">
                  <c:v>60</c:v>
                </c:pt>
                <c:pt idx="9">
                  <c:v>53</c:v>
                </c:pt>
                <c:pt idx="10">
                  <c:v>51</c:v>
                </c:pt>
                <c:pt idx="11">
                  <c:v>50</c:v>
                </c:pt>
                <c:pt idx="12">
                  <c:v>41</c:v>
                </c:pt>
                <c:pt idx="13">
                  <c:v>36</c:v>
                </c:pt>
                <c:pt idx="14">
                  <c:v>34</c:v>
                </c:pt>
                <c:pt idx="15">
                  <c:v>33</c:v>
                </c:pt>
                <c:pt idx="16">
                  <c:v>10</c:v>
                </c:pt>
                <c:pt idx="17">
                  <c:v>9</c:v>
                </c:pt>
                <c:pt idx="18">
                  <c:v>4</c:v>
                </c:pt>
              </c:numCache>
            </c:numRef>
          </c:val>
        </c:ser>
        <c:dLbls>
          <c:showLegendKey val="0"/>
          <c:showVal val="0"/>
          <c:showCatName val="0"/>
          <c:showSerName val="0"/>
          <c:showPercent val="0"/>
          <c:showBubbleSize val="0"/>
        </c:dLbls>
        <c:gapWidth val="219"/>
        <c:overlap val="-27"/>
        <c:axId val="208184320"/>
        <c:axId val="206334208"/>
      </c:barChart>
      <c:catAx>
        <c:axId val="20818432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700" b="0" strike="noStrike" spc="-1">
                <a:solidFill>
                  <a:srgbClr val="595959"/>
                </a:solidFill>
                <a:latin typeface="Calibri"/>
              </a:defRPr>
            </a:pPr>
            <a:endParaRPr lang="pl-PL"/>
          </a:p>
        </c:txPr>
        <c:crossAx val="206334208"/>
        <c:crosses val="autoZero"/>
        <c:auto val="1"/>
        <c:lblAlgn val="ctr"/>
        <c:lblOffset val="100"/>
        <c:noMultiLvlLbl val="1"/>
      </c:catAx>
      <c:valAx>
        <c:axId val="20633420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700" b="0" strike="noStrike" spc="-1">
                <a:solidFill>
                  <a:srgbClr val="595959"/>
                </a:solidFill>
                <a:latin typeface="Calibri"/>
              </a:defRPr>
            </a:pPr>
            <a:endParaRPr lang="pl-PL"/>
          </a:p>
        </c:txPr>
        <c:crossAx val="208184320"/>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księgozbiór</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88649</c:v>
                </c:pt>
                <c:pt idx="1">
                  <c:v>90067</c:v>
                </c:pt>
                <c:pt idx="2">
                  <c:v>92396</c:v>
                </c:pt>
                <c:pt idx="3">
                  <c:v>93485</c:v>
                </c:pt>
                <c:pt idx="4">
                  <c:v>96657</c:v>
                </c:pt>
              </c:numCache>
            </c:numRef>
          </c:val>
        </c:ser>
        <c:ser>
          <c:idx val="1"/>
          <c:order val="1"/>
          <c:tx>
            <c:strRef>
              <c:f>label 1</c:f>
              <c:strCache>
                <c:ptCount val="1"/>
                <c:pt idx="0">
                  <c:v>wypożyczenia księgozbioru na zewnątrz</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102174</c:v>
                </c:pt>
                <c:pt idx="1">
                  <c:v>101533</c:v>
                </c:pt>
                <c:pt idx="2">
                  <c:v>99592</c:v>
                </c:pt>
                <c:pt idx="3">
                  <c:v>100781</c:v>
                </c:pt>
                <c:pt idx="4">
                  <c:v>104587</c:v>
                </c:pt>
              </c:numCache>
            </c:numRef>
          </c:val>
        </c:ser>
        <c:dLbls>
          <c:showLegendKey val="0"/>
          <c:showVal val="0"/>
          <c:showCatName val="0"/>
          <c:showSerName val="0"/>
          <c:showPercent val="0"/>
          <c:showBubbleSize val="0"/>
        </c:dLbls>
        <c:gapWidth val="219"/>
        <c:overlap val="-27"/>
        <c:axId val="208185856"/>
        <c:axId val="206335936"/>
      </c:barChart>
      <c:lineChart>
        <c:grouping val="standard"/>
        <c:varyColors val="0"/>
        <c:ser>
          <c:idx val="2"/>
          <c:order val="2"/>
          <c:tx>
            <c:strRef>
              <c:f>label 2</c:f>
              <c:strCache>
                <c:ptCount val="1"/>
                <c:pt idx="0">
                  <c:v>czytelnicy w ciągu roku</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5797</c:v>
                </c:pt>
                <c:pt idx="1">
                  <c:v>5978</c:v>
                </c:pt>
                <c:pt idx="2">
                  <c:v>6200</c:v>
                </c:pt>
                <c:pt idx="3">
                  <c:v>6331</c:v>
                </c:pt>
                <c:pt idx="4">
                  <c:v>6433</c:v>
                </c:pt>
              </c:numCache>
            </c:numRef>
          </c:val>
          <c:smooth val="0"/>
        </c:ser>
        <c:dLbls>
          <c:showLegendKey val="0"/>
          <c:showVal val="0"/>
          <c:showCatName val="0"/>
          <c:showSerName val="0"/>
          <c:showPercent val="0"/>
          <c:showBubbleSize val="0"/>
        </c:dLbls>
        <c:hiLowLines>
          <c:spPr>
            <a:ln>
              <a:noFill/>
            </a:ln>
          </c:spPr>
        </c:hiLowLines>
        <c:marker val="1"/>
        <c:smooth val="0"/>
        <c:axId val="208186368"/>
        <c:axId val="206336512"/>
      </c:lineChart>
      <c:catAx>
        <c:axId val="20818585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6335936"/>
        <c:crosses val="autoZero"/>
        <c:auto val="1"/>
        <c:lblAlgn val="ctr"/>
        <c:lblOffset val="100"/>
        <c:noMultiLvlLbl val="1"/>
      </c:catAx>
      <c:valAx>
        <c:axId val="20633593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FFFFFF"/>
                </a:solidFill>
                <a:latin typeface="Calibri"/>
              </a:defRPr>
            </a:pPr>
            <a:endParaRPr lang="pl-PL"/>
          </a:p>
        </c:txPr>
        <c:crossAx val="208185856"/>
        <c:crosses val="autoZero"/>
        <c:crossBetween val="between"/>
      </c:valAx>
      <c:catAx>
        <c:axId val="208186368"/>
        <c:scaling>
          <c:orientation val="minMax"/>
        </c:scaling>
        <c:delete val="1"/>
        <c:axPos val="b"/>
        <c:numFmt formatCode="[$-415]d\/mm\/\Y\Y\Y\Y" sourceLinked="1"/>
        <c:majorTickMark val="out"/>
        <c:minorTickMark val="none"/>
        <c:tickLblPos val="nextTo"/>
        <c:crossAx val="206336512"/>
        <c:crosses val="autoZero"/>
        <c:auto val="1"/>
        <c:lblAlgn val="ctr"/>
        <c:lblOffset val="100"/>
        <c:noMultiLvlLbl val="1"/>
      </c:catAx>
      <c:valAx>
        <c:axId val="206336512"/>
        <c:scaling>
          <c:orientation val="minMax"/>
        </c:scaling>
        <c:delete val="0"/>
        <c:axPos val="r"/>
        <c:numFmt formatCode="#,##0" sourceLinked="0"/>
        <c:majorTickMark val="out"/>
        <c:minorTickMark val="none"/>
        <c:tickLblPos val="nextTo"/>
        <c:spPr>
          <a:ln w="6480">
            <a:noFill/>
          </a:ln>
        </c:spPr>
        <c:txPr>
          <a:bodyPr/>
          <a:lstStyle/>
          <a:p>
            <a:pPr>
              <a:defRPr sz="900" b="0" strike="noStrike" spc="-1">
                <a:solidFill>
                  <a:srgbClr val="FFFFFF"/>
                </a:solidFill>
                <a:latin typeface="Calibri"/>
              </a:defRPr>
            </a:pPr>
            <a:endParaRPr lang="pl-PL"/>
          </a:p>
        </c:txPr>
        <c:crossAx val="208186368"/>
        <c:crosses val="max"/>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0</c:f>
              <c:numCache>
                <c:formatCode>General</c:formatCode>
                <c:ptCount val="5"/>
                <c:pt idx="0">
                  <c:v>1655</c:v>
                </c:pt>
                <c:pt idx="1">
                  <c:v>1414</c:v>
                </c:pt>
                <c:pt idx="2">
                  <c:v>1049</c:v>
                </c:pt>
                <c:pt idx="3">
                  <c:v>992</c:v>
                </c:pt>
                <c:pt idx="4">
                  <c:v>687</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1</c:f>
              <c:numCache>
                <c:formatCode>General</c:formatCode>
                <c:ptCount val="5"/>
                <c:pt idx="0">
                  <c:v>1816</c:v>
                </c:pt>
                <c:pt idx="1">
                  <c:v>1426</c:v>
                </c:pt>
                <c:pt idx="2">
                  <c:v>1098</c:v>
                </c:pt>
                <c:pt idx="3">
                  <c:v>971</c:v>
                </c:pt>
                <c:pt idx="4">
                  <c:v>667</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2</c:f>
              <c:numCache>
                <c:formatCode>General</c:formatCode>
                <c:ptCount val="5"/>
                <c:pt idx="0">
                  <c:v>1876</c:v>
                </c:pt>
                <c:pt idx="1">
                  <c:v>1465</c:v>
                </c:pt>
                <c:pt idx="2">
                  <c:v>1135</c:v>
                </c:pt>
                <c:pt idx="3">
                  <c:v>1014</c:v>
                </c:pt>
                <c:pt idx="4">
                  <c:v>710</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3</c:f>
              <c:numCache>
                <c:formatCode>General</c:formatCode>
                <c:ptCount val="5"/>
                <c:pt idx="0">
                  <c:v>1890</c:v>
                </c:pt>
                <c:pt idx="1">
                  <c:v>1472</c:v>
                </c:pt>
                <c:pt idx="2">
                  <c:v>1133</c:v>
                </c:pt>
                <c:pt idx="3">
                  <c:v>1106</c:v>
                </c:pt>
                <c:pt idx="4">
                  <c:v>730</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4</c:f>
              <c:numCache>
                <c:formatCode>General</c:formatCode>
                <c:ptCount val="5"/>
                <c:pt idx="0">
                  <c:v>1937</c:v>
                </c:pt>
                <c:pt idx="1">
                  <c:v>1492</c:v>
                </c:pt>
                <c:pt idx="2">
                  <c:v>1149</c:v>
                </c:pt>
                <c:pt idx="3">
                  <c:v>1105</c:v>
                </c:pt>
                <c:pt idx="4">
                  <c:v>750</c:v>
                </c:pt>
              </c:numCache>
            </c:numRef>
          </c:val>
        </c:ser>
        <c:dLbls>
          <c:showLegendKey val="0"/>
          <c:showVal val="0"/>
          <c:showCatName val="0"/>
          <c:showSerName val="0"/>
          <c:showPercent val="0"/>
          <c:showBubbleSize val="0"/>
        </c:dLbls>
        <c:gapWidth val="219"/>
        <c:overlap val="-27"/>
        <c:axId val="206261760"/>
        <c:axId val="206338240"/>
      </c:barChart>
      <c:catAx>
        <c:axId val="20626176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6338240"/>
        <c:crosses val="autoZero"/>
        <c:auto val="1"/>
        <c:lblAlgn val="ctr"/>
        <c:lblOffset val="100"/>
        <c:noMultiLvlLbl val="1"/>
      </c:catAx>
      <c:valAx>
        <c:axId val="206338240"/>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6261760"/>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0</c:f>
              <c:numCache>
                <c:formatCode>General</c:formatCode>
                <c:ptCount val="5"/>
                <c:pt idx="0">
                  <c:v>26883</c:v>
                </c:pt>
                <c:pt idx="1">
                  <c:v>15040</c:v>
                </c:pt>
                <c:pt idx="2">
                  <c:v>18321</c:v>
                </c:pt>
                <c:pt idx="3">
                  <c:v>18994</c:v>
                </c:pt>
                <c:pt idx="4">
                  <c:v>9411</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1</c:f>
              <c:numCache>
                <c:formatCode>General</c:formatCode>
                <c:ptCount val="5"/>
                <c:pt idx="0">
                  <c:v>25735</c:v>
                </c:pt>
                <c:pt idx="1">
                  <c:v>16214</c:v>
                </c:pt>
                <c:pt idx="2">
                  <c:v>18978</c:v>
                </c:pt>
                <c:pt idx="3">
                  <c:v>19858</c:v>
                </c:pt>
                <c:pt idx="4">
                  <c:v>9282</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2</c:f>
              <c:numCache>
                <c:formatCode>General</c:formatCode>
                <c:ptCount val="5"/>
                <c:pt idx="0">
                  <c:v>25976</c:v>
                </c:pt>
                <c:pt idx="1">
                  <c:v>17054</c:v>
                </c:pt>
                <c:pt idx="2">
                  <c:v>19107</c:v>
                </c:pt>
                <c:pt idx="3">
                  <c:v>20290</c:v>
                </c:pt>
                <c:pt idx="4">
                  <c:v>9969</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3</c:f>
              <c:numCache>
                <c:formatCode>General</c:formatCode>
                <c:ptCount val="5"/>
                <c:pt idx="0">
                  <c:v>24875</c:v>
                </c:pt>
                <c:pt idx="1">
                  <c:v>18077</c:v>
                </c:pt>
                <c:pt idx="2">
                  <c:v>19556</c:v>
                </c:pt>
                <c:pt idx="3">
                  <c:v>20950</c:v>
                </c:pt>
                <c:pt idx="4">
                  <c:v>10027</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4</c:f>
              <c:numCache>
                <c:formatCode>General</c:formatCode>
                <c:ptCount val="5"/>
                <c:pt idx="0">
                  <c:v>25139</c:v>
                </c:pt>
                <c:pt idx="1">
                  <c:v>19131</c:v>
                </c:pt>
                <c:pt idx="2">
                  <c:v>20424</c:v>
                </c:pt>
                <c:pt idx="3">
                  <c:v>21956</c:v>
                </c:pt>
                <c:pt idx="4">
                  <c:v>10007</c:v>
                </c:pt>
              </c:numCache>
            </c:numRef>
          </c:val>
        </c:ser>
        <c:dLbls>
          <c:showLegendKey val="0"/>
          <c:showVal val="0"/>
          <c:showCatName val="0"/>
          <c:showSerName val="0"/>
          <c:showPercent val="0"/>
          <c:showBubbleSize val="0"/>
        </c:dLbls>
        <c:gapWidth val="219"/>
        <c:overlap val="-27"/>
        <c:axId val="207533568"/>
        <c:axId val="208625664"/>
      </c:barChart>
      <c:catAx>
        <c:axId val="20753356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8625664"/>
        <c:crosses val="autoZero"/>
        <c:auto val="1"/>
        <c:lblAlgn val="ctr"/>
        <c:lblOffset val="100"/>
        <c:noMultiLvlLbl val="1"/>
      </c:catAx>
      <c:valAx>
        <c:axId val="208625664"/>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7533568"/>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0</c:f>
              <c:numCache>
                <c:formatCode>General</c:formatCode>
                <c:ptCount val="5"/>
                <c:pt idx="0">
                  <c:v>40378</c:v>
                </c:pt>
                <c:pt idx="1">
                  <c:v>15968</c:v>
                </c:pt>
                <c:pt idx="2">
                  <c:v>18228</c:v>
                </c:pt>
                <c:pt idx="3">
                  <c:v>18111</c:v>
                </c:pt>
                <c:pt idx="4">
                  <c:v>9489</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1</c:f>
              <c:numCache>
                <c:formatCode>General</c:formatCode>
                <c:ptCount val="5"/>
                <c:pt idx="0">
                  <c:v>38029</c:v>
                </c:pt>
                <c:pt idx="1">
                  <c:v>17064</c:v>
                </c:pt>
                <c:pt idx="2">
                  <c:v>18431</c:v>
                </c:pt>
                <c:pt idx="3">
                  <c:v>19317</c:v>
                </c:pt>
                <c:pt idx="4">
                  <c:v>8692</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2</c:f>
              <c:numCache>
                <c:formatCode>General</c:formatCode>
                <c:ptCount val="5"/>
                <c:pt idx="0">
                  <c:v>35948</c:v>
                </c:pt>
                <c:pt idx="1">
                  <c:v>16763</c:v>
                </c:pt>
                <c:pt idx="2">
                  <c:v>18393</c:v>
                </c:pt>
                <c:pt idx="3">
                  <c:v>18732</c:v>
                </c:pt>
                <c:pt idx="4">
                  <c:v>9756</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3</c:f>
              <c:numCache>
                <c:formatCode>General</c:formatCode>
                <c:ptCount val="5"/>
                <c:pt idx="0">
                  <c:v>37463</c:v>
                </c:pt>
                <c:pt idx="1">
                  <c:v>15979</c:v>
                </c:pt>
                <c:pt idx="2">
                  <c:v>18334</c:v>
                </c:pt>
                <c:pt idx="3">
                  <c:v>17910</c:v>
                </c:pt>
                <c:pt idx="4">
                  <c:v>11095</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Cyców</c:v>
                </c:pt>
                <c:pt idx="2">
                  <c:v>Puchaczów</c:v>
                </c:pt>
                <c:pt idx="3">
                  <c:v>Ludwin</c:v>
                </c:pt>
                <c:pt idx="4">
                  <c:v>Urszulin</c:v>
                </c:pt>
              </c:strCache>
            </c:strRef>
          </c:cat>
          <c:val>
            <c:numRef>
              <c:f>4</c:f>
              <c:numCache>
                <c:formatCode>General</c:formatCode>
                <c:ptCount val="5"/>
                <c:pt idx="0">
                  <c:v>38600</c:v>
                </c:pt>
                <c:pt idx="1">
                  <c:v>16994</c:v>
                </c:pt>
                <c:pt idx="2">
                  <c:v>19916</c:v>
                </c:pt>
                <c:pt idx="3">
                  <c:v>17825</c:v>
                </c:pt>
                <c:pt idx="4">
                  <c:v>11252</c:v>
                </c:pt>
              </c:numCache>
            </c:numRef>
          </c:val>
        </c:ser>
        <c:dLbls>
          <c:showLegendKey val="0"/>
          <c:showVal val="0"/>
          <c:showCatName val="0"/>
          <c:showSerName val="0"/>
          <c:showPercent val="0"/>
          <c:showBubbleSize val="0"/>
        </c:dLbls>
        <c:gapWidth val="219"/>
        <c:overlap val="-27"/>
        <c:axId val="209383424"/>
        <c:axId val="208627392"/>
      </c:barChart>
      <c:catAx>
        <c:axId val="209383424"/>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8627392"/>
        <c:crosses val="autoZero"/>
        <c:auto val="1"/>
        <c:lblAlgn val="ctr"/>
        <c:lblOffset val="100"/>
        <c:noMultiLvlLbl val="1"/>
      </c:catAx>
      <c:valAx>
        <c:axId val="20862739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9383424"/>
        <c:crosses val="autoZero"/>
        <c:crossBetween val="between"/>
        <c:majorUnit val="10000"/>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ogółem</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3061.27</c:v>
                </c:pt>
                <c:pt idx="1">
                  <c:v>3138.26</c:v>
                </c:pt>
                <c:pt idx="2">
                  <c:v>4029.86</c:v>
                </c:pt>
                <c:pt idx="3">
                  <c:v>3897.94</c:v>
                </c:pt>
                <c:pt idx="4">
                  <c:v>4126.7299999999996</c:v>
                </c:pt>
              </c:numCache>
            </c:numRef>
          </c:val>
        </c:ser>
        <c:ser>
          <c:idx val="1"/>
          <c:order val="1"/>
          <c:tx>
            <c:strRef>
              <c:f>label 1</c:f>
              <c:strCache>
                <c:ptCount val="1"/>
                <c:pt idx="0">
                  <c:v>z gospodarstw domowych</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2391.9499999999998</c:v>
                </c:pt>
                <c:pt idx="1">
                  <c:v>2492.67</c:v>
                </c:pt>
                <c:pt idx="2">
                  <c:v>3165.45</c:v>
                </c:pt>
                <c:pt idx="3">
                  <c:v>3093.97</c:v>
                </c:pt>
                <c:pt idx="4">
                  <c:v>3191.65</c:v>
                </c:pt>
              </c:numCache>
            </c:numRef>
          </c:val>
        </c:ser>
        <c:dLbls>
          <c:showLegendKey val="0"/>
          <c:showVal val="0"/>
          <c:showCatName val="0"/>
          <c:showSerName val="0"/>
          <c:showPercent val="0"/>
          <c:showBubbleSize val="0"/>
        </c:dLbls>
        <c:gapWidth val="219"/>
        <c:overlap val="-27"/>
        <c:axId val="209384960"/>
        <c:axId val="208629120"/>
      </c:barChart>
      <c:catAx>
        <c:axId val="20938496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8629120"/>
        <c:crosses val="autoZero"/>
        <c:auto val="1"/>
        <c:lblAlgn val="ctr"/>
        <c:lblOffset val="100"/>
        <c:noMultiLvlLbl val="1"/>
      </c:catAx>
      <c:valAx>
        <c:axId val="208629120"/>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9384960"/>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Seria bez nazwy 1</c:v>
                </c:pt>
              </c:strCache>
            </c:strRef>
          </c:tx>
          <c:spPr>
            <a:ln w="28440">
              <a:solidFill>
                <a:srgbClr val="5B9BD5"/>
              </a:solidFill>
              <a:round/>
            </a:ln>
          </c:spPr>
          <c:marker>
            <c:symbol val="circle"/>
            <c:size val="5"/>
            <c:spPr>
              <a:solidFill>
                <a:srgbClr val="5B9BD5"/>
              </a:solidFill>
            </c:spPr>
          </c:marker>
          <c:dLbls>
            <c:txPr>
              <a:bodyPr/>
              <a:lstStyle/>
              <a:p>
                <a:pPr>
                  <a:defRPr sz="900" b="0" strike="noStrike" spc="-1">
                    <a:solidFill>
                      <a:srgbClr val="404040"/>
                    </a:solidFill>
                    <a:latin typeface="Calibri"/>
                  </a:defRPr>
                </a:pPr>
                <a:endParaRPr lang="pl-PL"/>
              </a:p>
            </c:txPr>
            <c:dLblPos val="t"/>
            <c:showLegendKey val="0"/>
            <c:showVal val="1"/>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93.5</c:v>
                </c:pt>
                <c:pt idx="1">
                  <c:v>97.36</c:v>
                </c:pt>
                <c:pt idx="2">
                  <c:v>129.32</c:v>
                </c:pt>
                <c:pt idx="3">
                  <c:v>119.24</c:v>
                </c:pt>
                <c:pt idx="4">
                  <c:v>125.04</c:v>
                </c:pt>
              </c:numCache>
            </c:numRef>
          </c:val>
          <c:smooth val="0"/>
        </c:ser>
        <c:dLbls>
          <c:showLegendKey val="0"/>
          <c:showVal val="0"/>
          <c:showCatName val="0"/>
          <c:showSerName val="0"/>
          <c:showPercent val="0"/>
          <c:showBubbleSize val="0"/>
        </c:dLbls>
        <c:hiLowLines>
          <c:spPr>
            <a:ln>
              <a:noFill/>
            </a:ln>
          </c:spPr>
        </c:hiLowLines>
        <c:marker val="1"/>
        <c:smooth val="0"/>
        <c:axId val="209386496"/>
        <c:axId val="208630848"/>
      </c:lineChart>
      <c:catAx>
        <c:axId val="20938649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8630848"/>
        <c:crosses val="autoZero"/>
        <c:auto val="1"/>
        <c:lblAlgn val="ctr"/>
        <c:lblOffset val="100"/>
        <c:noMultiLvlLbl val="1"/>
      </c:catAx>
      <c:valAx>
        <c:axId val="208630848"/>
        <c:scaling>
          <c:orientation val="minMax"/>
          <c:min val="80"/>
        </c:scaling>
        <c:delete val="1"/>
        <c:axPos val="l"/>
        <c:numFmt formatCode="##,#0\.0" sourceLinked="0"/>
        <c:majorTickMark val="none"/>
        <c:minorTickMark val="none"/>
        <c:tickLblPos val="nextTo"/>
        <c:crossAx val="209386496"/>
        <c:crosses val="autoZero"/>
        <c:crossBetween val="midCat"/>
      </c:valAx>
      <c:spPr>
        <a:noFill/>
        <a:ln>
          <a:noFill/>
        </a:ln>
      </c:spPr>
    </c:plotArea>
    <c:plotVisOnly val="1"/>
    <c:dispBlanksAs val="gap"/>
    <c:showDLblsOverMax val="1"/>
  </c:chart>
  <c:spPr>
    <a:noFill/>
    <a:ln w="9360">
      <a:noFill/>
    </a:ln>
  </c:spPr>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2015 2016 2017 2018 2019</c:v>
                </c:pt>
              </c:strCache>
            </c:strRef>
          </c:tx>
          <c:spPr>
            <a:ln w="28440">
              <a:solidFill>
                <a:srgbClr val="5B9BD5"/>
              </a:solidFill>
              <a:round/>
            </a:ln>
          </c:spPr>
          <c:marker>
            <c:symbol val="circle"/>
            <c:size val="5"/>
            <c:spPr>
              <a:solidFill>
                <a:srgbClr val="5B9BD5"/>
              </a:solidFill>
            </c:spPr>
          </c:marker>
          <c:dLbls>
            <c:txPr>
              <a:bodyPr/>
              <a:lstStyle/>
              <a:p>
                <a:pPr>
                  <a:defRPr sz="900" b="0" strike="noStrike" spc="-1">
                    <a:solidFill>
                      <a:srgbClr val="404040"/>
                    </a:solidFill>
                    <a:latin typeface="Calibri"/>
                  </a:defRPr>
                </a:pPr>
                <a:endParaRPr lang="pl-PL"/>
              </a:p>
            </c:txPr>
            <c:dLblPos val="t"/>
            <c:showLegendKey val="0"/>
            <c:showVal val="1"/>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32269</c:v>
                </c:pt>
                <c:pt idx="1">
                  <c:v>32359</c:v>
                </c:pt>
                <c:pt idx="2">
                  <c:v>32436</c:v>
                </c:pt>
                <c:pt idx="3">
                  <c:v>32532</c:v>
                </c:pt>
                <c:pt idx="4">
                  <c:v>32477</c:v>
                </c:pt>
              </c:numCache>
            </c:numRef>
          </c:val>
          <c:smooth val="0"/>
        </c:ser>
        <c:dLbls>
          <c:showLegendKey val="0"/>
          <c:showVal val="0"/>
          <c:showCatName val="0"/>
          <c:showSerName val="0"/>
          <c:showPercent val="0"/>
          <c:showBubbleSize val="0"/>
        </c:dLbls>
        <c:hiLowLines>
          <c:spPr>
            <a:ln>
              <a:noFill/>
            </a:ln>
          </c:spPr>
        </c:hiLowLines>
        <c:marker val="1"/>
        <c:smooth val="0"/>
        <c:axId val="204568064"/>
        <c:axId val="171546816"/>
      </c:lineChart>
      <c:catAx>
        <c:axId val="204568064"/>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171546816"/>
        <c:crosses val="autoZero"/>
        <c:auto val="1"/>
        <c:lblAlgn val="ctr"/>
        <c:lblOffset val="100"/>
        <c:noMultiLvlLbl val="1"/>
      </c:catAx>
      <c:valAx>
        <c:axId val="171546816"/>
        <c:scaling>
          <c:orientation val="minMax"/>
        </c:scaling>
        <c:delete val="1"/>
        <c:axPos val="l"/>
        <c:numFmt formatCode="#,##0" sourceLinked="0"/>
        <c:majorTickMark val="none"/>
        <c:minorTickMark val="none"/>
        <c:tickLblPos val="nextTo"/>
        <c:crossAx val="204568064"/>
        <c:crosses val="autoZero"/>
        <c:crossBetween val="midCat"/>
      </c:valAx>
      <c:spPr>
        <a:noFill/>
        <a:ln>
          <a:noFill/>
        </a:ln>
      </c:spPr>
    </c:plotArea>
    <c:plotVisOnly val="1"/>
    <c:dispBlanksAs val="gap"/>
    <c:showDLblsOverMax val="1"/>
  </c:chart>
  <c:spPr>
    <a:noFill/>
    <a:ln w="9360">
      <a:noFill/>
    </a:ln>
  </c:spPr>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Cyców</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0</c:f>
              <c:numCache>
                <c:formatCode>General</c:formatCode>
                <c:ptCount val="10"/>
                <c:pt idx="0">
                  <c:v>712.63</c:v>
                </c:pt>
                <c:pt idx="1">
                  <c:v>657.04</c:v>
                </c:pt>
                <c:pt idx="2">
                  <c:v>672.67</c:v>
                </c:pt>
                <c:pt idx="3">
                  <c:v>853.34</c:v>
                </c:pt>
                <c:pt idx="4">
                  <c:v>899.9</c:v>
                </c:pt>
                <c:pt idx="5">
                  <c:v>627.30999999999995</c:v>
                </c:pt>
                <c:pt idx="6">
                  <c:v>576.94000000000005</c:v>
                </c:pt>
                <c:pt idx="7">
                  <c:v>615.63</c:v>
                </c:pt>
                <c:pt idx="8">
                  <c:v>800</c:v>
                </c:pt>
                <c:pt idx="9">
                  <c:v>879.38</c:v>
                </c:pt>
              </c:numCache>
            </c:numRef>
          </c:val>
        </c:ser>
        <c:ser>
          <c:idx val="1"/>
          <c:order val="1"/>
          <c:tx>
            <c:strRef>
              <c:f>label 1</c:f>
              <c:strCache>
                <c:ptCount val="1"/>
                <c:pt idx="0">
                  <c:v>Ludwin</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1</c:f>
              <c:numCache>
                <c:formatCode>General</c:formatCode>
                <c:ptCount val="10"/>
                <c:pt idx="0">
                  <c:v>182.6</c:v>
                </c:pt>
                <c:pt idx="1">
                  <c:v>188.62</c:v>
                </c:pt>
                <c:pt idx="2">
                  <c:v>432.58</c:v>
                </c:pt>
                <c:pt idx="3">
                  <c:v>239.8</c:v>
                </c:pt>
                <c:pt idx="4">
                  <c:v>449.2</c:v>
                </c:pt>
                <c:pt idx="5">
                  <c:v>145</c:v>
                </c:pt>
                <c:pt idx="6">
                  <c:v>158.06</c:v>
                </c:pt>
                <c:pt idx="7">
                  <c:v>363.36</c:v>
                </c:pt>
                <c:pt idx="8">
                  <c:v>193.34</c:v>
                </c:pt>
                <c:pt idx="9">
                  <c:v>402</c:v>
                </c:pt>
              </c:numCache>
            </c:numRef>
          </c:val>
        </c:ser>
        <c:ser>
          <c:idx val="2"/>
          <c:order val="2"/>
          <c:tx>
            <c:strRef>
              <c:f>label 2</c:f>
              <c:strCache>
                <c:ptCount val="1"/>
                <c:pt idx="0">
                  <c:v>Milejów</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2</c:f>
              <c:numCache>
                <c:formatCode>General</c:formatCode>
                <c:ptCount val="10"/>
                <c:pt idx="0">
                  <c:v>960.6</c:v>
                </c:pt>
                <c:pt idx="1">
                  <c:v>994.38</c:v>
                </c:pt>
                <c:pt idx="2">
                  <c:v>1105.3599999999999</c:v>
                </c:pt>
                <c:pt idx="3">
                  <c:v>1173.8399999999999</c:v>
                </c:pt>
                <c:pt idx="4">
                  <c:v>1163.8</c:v>
                </c:pt>
                <c:pt idx="5">
                  <c:v>860.49</c:v>
                </c:pt>
                <c:pt idx="6">
                  <c:v>898.89</c:v>
                </c:pt>
                <c:pt idx="7">
                  <c:v>938.99</c:v>
                </c:pt>
                <c:pt idx="8">
                  <c:v>1058.57</c:v>
                </c:pt>
                <c:pt idx="9">
                  <c:v>1017.72</c:v>
                </c:pt>
              </c:numCache>
            </c:numRef>
          </c:val>
        </c:ser>
        <c:ser>
          <c:idx val="3"/>
          <c:order val="3"/>
          <c:tx>
            <c:strRef>
              <c:f>label 3</c:f>
              <c:strCache>
                <c:ptCount val="1"/>
                <c:pt idx="0">
                  <c:v>Puchaczów</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3</c:f>
              <c:numCache>
                <c:formatCode>General</c:formatCode>
                <c:ptCount val="10"/>
                <c:pt idx="0">
                  <c:v>847.52</c:v>
                </c:pt>
                <c:pt idx="1">
                  <c:v>858.46</c:v>
                </c:pt>
                <c:pt idx="2">
                  <c:v>1218</c:v>
                </c:pt>
                <c:pt idx="3">
                  <c:v>1202.52</c:v>
                </c:pt>
                <c:pt idx="4">
                  <c:v>1303.0899999999999</c:v>
                </c:pt>
                <c:pt idx="5">
                  <c:v>508.18</c:v>
                </c:pt>
                <c:pt idx="6">
                  <c:v>550.44000000000005</c:v>
                </c:pt>
                <c:pt idx="7">
                  <c:v>667.04</c:v>
                </c:pt>
                <c:pt idx="8">
                  <c:v>625.67999999999995</c:v>
                </c:pt>
                <c:pt idx="9">
                  <c:v>676.01</c:v>
                </c:pt>
              </c:numCache>
            </c:numRef>
          </c:val>
        </c:ser>
        <c:ser>
          <c:idx val="4"/>
          <c:order val="4"/>
          <c:tx>
            <c:strRef>
              <c:f>label 4</c:f>
              <c:strCache>
                <c:ptCount val="1"/>
                <c:pt idx="0">
                  <c:v>Urszulin</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4</c:f>
              <c:numCache>
                <c:formatCode>General</c:formatCode>
                <c:ptCount val="10"/>
                <c:pt idx="0">
                  <c:v>357.92</c:v>
                </c:pt>
                <c:pt idx="1">
                  <c:v>439.76</c:v>
                </c:pt>
                <c:pt idx="2">
                  <c:v>601.25</c:v>
                </c:pt>
                <c:pt idx="3">
                  <c:v>428.44</c:v>
                </c:pt>
                <c:pt idx="4">
                  <c:v>310.74</c:v>
                </c:pt>
                <c:pt idx="5">
                  <c:v>250.97</c:v>
                </c:pt>
                <c:pt idx="6">
                  <c:v>308.33999999999997</c:v>
                </c:pt>
                <c:pt idx="7">
                  <c:v>580.42999999999995</c:v>
                </c:pt>
                <c:pt idx="8">
                  <c:v>416.38</c:v>
                </c:pt>
                <c:pt idx="9">
                  <c:v>216.54</c:v>
                </c:pt>
              </c:numCache>
            </c:numRef>
          </c:val>
        </c:ser>
        <c:dLbls>
          <c:showLegendKey val="0"/>
          <c:showVal val="0"/>
          <c:showCatName val="0"/>
          <c:showSerName val="0"/>
          <c:showPercent val="0"/>
          <c:showBubbleSize val="0"/>
        </c:dLbls>
        <c:gapWidth val="219"/>
        <c:overlap val="-27"/>
        <c:axId val="209297920"/>
        <c:axId val="208632576"/>
      </c:barChart>
      <c:catAx>
        <c:axId val="20929792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8632576"/>
        <c:crosses val="autoZero"/>
        <c:auto val="1"/>
        <c:lblAlgn val="ctr"/>
        <c:lblOffset val="100"/>
        <c:noMultiLvlLbl val="1"/>
      </c:catAx>
      <c:valAx>
        <c:axId val="208632576"/>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9297920"/>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Cyców</c:v>
                </c:pt>
              </c:strCache>
            </c:strRef>
          </c:tx>
          <c:spPr>
            <a:ln w="28440">
              <a:solidFill>
                <a:srgbClr val="5B9BD5"/>
              </a:solidFill>
              <a:round/>
            </a:ln>
          </c:spPr>
          <c:marker>
            <c:symbol val="circle"/>
            <c:size val="5"/>
            <c:spPr>
              <a:solidFill>
                <a:srgbClr val="5B9BD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89.7</c:v>
                </c:pt>
                <c:pt idx="1">
                  <c:v>82.8</c:v>
                </c:pt>
                <c:pt idx="2">
                  <c:v>84.7</c:v>
                </c:pt>
                <c:pt idx="3">
                  <c:v>107.7</c:v>
                </c:pt>
                <c:pt idx="4">
                  <c:v>112.9</c:v>
                </c:pt>
              </c:numCache>
            </c:numRef>
          </c:val>
          <c:smooth val="0"/>
        </c:ser>
        <c:ser>
          <c:idx val="1"/>
          <c:order val="1"/>
          <c:tx>
            <c:strRef>
              <c:f>label 1</c:f>
              <c:strCache>
                <c:ptCount val="1"/>
                <c:pt idx="0">
                  <c:v>Ludwin</c:v>
                </c:pt>
              </c:strCache>
            </c:strRef>
          </c:tx>
          <c:spPr>
            <a:ln w="28440">
              <a:solidFill>
                <a:srgbClr val="ED7D31"/>
              </a:solidFill>
              <a:round/>
            </a:ln>
          </c:spPr>
          <c:marker>
            <c:symbol val="circle"/>
            <c:size val="5"/>
            <c:spPr>
              <a:solidFill>
                <a:srgbClr val="ED7D31"/>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33.799999999999997</c:v>
                </c:pt>
                <c:pt idx="1">
                  <c:v>34.200000000000003</c:v>
                </c:pt>
                <c:pt idx="2">
                  <c:v>78.3</c:v>
                </c:pt>
                <c:pt idx="3">
                  <c:v>42.8</c:v>
                </c:pt>
                <c:pt idx="4">
                  <c:v>79.900000000000006</c:v>
                </c:pt>
              </c:numCache>
            </c:numRef>
          </c:val>
          <c:smooth val="0"/>
        </c:ser>
        <c:ser>
          <c:idx val="2"/>
          <c:order val="2"/>
          <c:tx>
            <c:strRef>
              <c:f>label 2</c:f>
              <c:strCache>
                <c:ptCount val="1"/>
                <c:pt idx="0">
                  <c:v>Milejów</c:v>
                </c:pt>
              </c:strCache>
            </c:strRef>
          </c:tx>
          <c:spPr>
            <a:ln w="28440">
              <a:solidFill>
                <a:srgbClr val="A5A5A5"/>
              </a:solidFill>
              <a:round/>
            </a:ln>
          </c:spPr>
          <c:marker>
            <c:symbol val="circle"/>
            <c:size val="5"/>
            <c:spPr>
              <a:solidFill>
                <a:srgbClr val="A5A5A5"/>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103.3</c:v>
                </c:pt>
                <c:pt idx="1">
                  <c:v>107.6</c:v>
                </c:pt>
                <c:pt idx="2">
                  <c:v>120.3</c:v>
                </c:pt>
                <c:pt idx="3">
                  <c:v>128.6</c:v>
                </c:pt>
                <c:pt idx="4">
                  <c:v>128.1</c:v>
                </c:pt>
              </c:numCache>
            </c:numRef>
          </c:val>
          <c:smooth val="0"/>
        </c:ser>
        <c:ser>
          <c:idx val="3"/>
          <c:order val="3"/>
          <c:tx>
            <c:strRef>
              <c:f>label 3</c:f>
              <c:strCache>
                <c:ptCount val="1"/>
                <c:pt idx="0">
                  <c:v>Puchaczów</c:v>
                </c:pt>
              </c:strCache>
            </c:strRef>
          </c:tx>
          <c:spPr>
            <a:ln w="28440">
              <a:solidFill>
                <a:srgbClr val="FFC000"/>
              </a:solidFill>
              <a:round/>
            </a:ln>
          </c:spPr>
          <c:marker>
            <c:symbol val="circle"/>
            <c:size val="5"/>
            <c:spPr>
              <a:solidFill>
                <a:srgbClr val="FFC000"/>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3</c:f>
              <c:numCache>
                <c:formatCode>General</c:formatCode>
                <c:ptCount val="5"/>
                <c:pt idx="0">
                  <c:v>153.80000000000001</c:v>
                </c:pt>
                <c:pt idx="1">
                  <c:v>155.5</c:v>
                </c:pt>
                <c:pt idx="2">
                  <c:v>218.4</c:v>
                </c:pt>
                <c:pt idx="3">
                  <c:v>213.4</c:v>
                </c:pt>
                <c:pt idx="4">
                  <c:v>229.5</c:v>
                </c:pt>
              </c:numCache>
            </c:numRef>
          </c:val>
          <c:smooth val="0"/>
        </c:ser>
        <c:ser>
          <c:idx val="4"/>
          <c:order val="4"/>
          <c:tx>
            <c:strRef>
              <c:f>label 4</c:f>
              <c:strCache>
                <c:ptCount val="1"/>
                <c:pt idx="0">
                  <c:v>Urszulin</c:v>
                </c:pt>
              </c:strCache>
            </c:strRef>
          </c:tx>
          <c:spPr>
            <a:ln w="28440">
              <a:solidFill>
                <a:srgbClr val="4472C4"/>
              </a:solidFill>
              <a:round/>
            </a:ln>
          </c:spPr>
          <c:marker>
            <c:symbol val="circle"/>
            <c:size val="5"/>
            <c:spPr>
              <a:solidFill>
                <a:srgbClr val="4472C4"/>
              </a:solidFill>
            </c:spPr>
          </c:marker>
          <c:dLbls>
            <c:txPr>
              <a:bodyPr/>
              <a:lstStyle/>
              <a:p>
                <a:pPr>
                  <a:defRPr sz="1000" b="0" strike="noStrike" spc="-1">
                    <a:solidFill>
                      <a:srgbClr val="000000"/>
                    </a:solidFill>
                    <a:latin typeface="Calibri"/>
                  </a:defRPr>
                </a:pPr>
                <a:endParaRPr lang="pl-PL"/>
              </a:p>
            </c:txPr>
            <c:dLblPos val="r"/>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4</c:f>
              <c:numCache>
                <c:formatCode>General</c:formatCode>
                <c:ptCount val="5"/>
                <c:pt idx="0">
                  <c:v>86.9</c:v>
                </c:pt>
                <c:pt idx="1">
                  <c:v>106.7</c:v>
                </c:pt>
                <c:pt idx="2">
                  <c:v>144.9</c:v>
                </c:pt>
                <c:pt idx="3">
                  <c:v>103.7</c:v>
                </c:pt>
                <c:pt idx="4">
                  <c:v>74.8</c:v>
                </c:pt>
              </c:numCache>
            </c:numRef>
          </c:val>
          <c:smooth val="0"/>
        </c:ser>
        <c:dLbls>
          <c:showLegendKey val="0"/>
          <c:showVal val="0"/>
          <c:showCatName val="0"/>
          <c:showSerName val="0"/>
          <c:showPercent val="0"/>
          <c:showBubbleSize val="0"/>
        </c:dLbls>
        <c:hiLowLines>
          <c:spPr>
            <a:ln>
              <a:noFill/>
            </a:ln>
          </c:spPr>
        </c:hiLowLines>
        <c:marker val="1"/>
        <c:smooth val="0"/>
        <c:axId val="209387008"/>
        <c:axId val="209396288"/>
      </c:lineChart>
      <c:catAx>
        <c:axId val="20938700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9396288"/>
        <c:crosses val="autoZero"/>
        <c:auto val="1"/>
        <c:lblAlgn val="ctr"/>
        <c:lblOffset val="100"/>
        <c:noMultiLvlLbl val="1"/>
      </c:catAx>
      <c:valAx>
        <c:axId val="209396288"/>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9387008"/>
        <c:crosses val="autoZero"/>
        <c:crossBetween val="midCat"/>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manualLayout>
          <c:layoutTarget val="inner"/>
          <c:xMode val="edge"/>
          <c:yMode val="edge"/>
          <c:x val="2.9062500000000002E-2"/>
          <c:y val="7.7333333333333296E-2"/>
          <c:w val="0.95081249999999995"/>
          <c:h val="0.79644444444444396"/>
        </c:manualLayout>
      </c:layout>
      <c:lineChart>
        <c:grouping val="standard"/>
        <c:varyColors val="0"/>
        <c:ser>
          <c:idx val="0"/>
          <c:order val="0"/>
          <c:tx>
            <c:strRef>
              <c:f>label 0</c:f>
              <c:strCache>
                <c:ptCount val="1"/>
                <c:pt idx="0">
                  <c:v>Seria bez nazwy 1</c:v>
                </c:pt>
              </c:strCache>
            </c:strRef>
          </c:tx>
          <c:spPr>
            <a:ln w="28440">
              <a:solidFill>
                <a:srgbClr val="5B9BD5"/>
              </a:solidFill>
              <a:round/>
            </a:ln>
          </c:spPr>
          <c:marker>
            <c:symbol val="circle"/>
            <c:size val="5"/>
            <c:spPr>
              <a:solidFill>
                <a:srgbClr val="5B9BD5"/>
              </a:solidFill>
            </c:spPr>
          </c:marker>
          <c:dLbls>
            <c:txPr>
              <a:bodyPr/>
              <a:lstStyle/>
              <a:p>
                <a:pPr>
                  <a:defRPr sz="900" b="0" strike="noStrike" spc="-1">
                    <a:solidFill>
                      <a:srgbClr val="404040"/>
                    </a:solidFill>
                    <a:latin typeface="Calibri"/>
                  </a:defRPr>
                </a:pPr>
                <a:endParaRPr lang="pl-PL"/>
              </a:p>
            </c:txPr>
            <c:dLblPos val="t"/>
            <c:showLegendKey val="0"/>
            <c:showVal val="1"/>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63803</c:v>
                </c:pt>
                <c:pt idx="1">
                  <c:v>66501</c:v>
                </c:pt>
                <c:pt idx="2">
                  <c:v>61696</c:v>
                </c:pt>
                <c:pt idx="3">
                  <c:v>70445</c:v>
                </c:pt>
                <c:pt idx="4">
                  <c:v>73198</c:v>
                </c:pt>
              </c:numCache>
            </c:numRef>
          </c:val>
          <c:smooth val="0"/>
        </c:ser>
        <c:dLbls>
          <c:showLegendKey val="0"/>
          <c:showVal val="0"/>
          <c:showCatName val="0"/>
          <c:showSerName val="0"/>
          <c:showPercent val="0"/>
          <c:showBubbleSize val="0"/>
        </c:dLbls>
        <c:hiLowLines>
          <c:spPr>
            <a:ln>
              <a:noFill/>
            </a:ln>
          </c:spPr>
        </c:hiLowLines>
        <c:marker val="1"/>
        <c:smooth val="0"/>
        <c:axId val="209299456"/>
        <c:axId val="209398016"/>
      </c:lineChart>
      <c:catAx>
        <c:axId val="20929945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9398016"/>
        <c:crosses val="autoZero"/>
        <c:auto val="1"/>
        <c:lblAlgn val="ctr"/>
        <c:lblOffset val="100"/>
        <c:noMultiLvlLbl val="1"/>
      </c:catAx>
      <c:valAx>
        <c:axId val="209398016"/>
        <c:scaling>
          <c:orientation val="minMax"/>
        </c:scaling>
        <c:delete val="1"/>
        <c:axPos val="l"/>
        <c:numFmt formatCode="#,##0" sourceLinked="0"/>
        <c:majorTickMark val="none"/>
        <c:minorTickMark val="none"/>
        <c:tickLblPos val="nextTo"/>
        <c:crossAx val="209299456"/>
        <c:crosses val="autoZero"/>
        <c:crossBetween val="midCat"/>
      </c:valAx>
      <c:spPr>
        <a:noFill/>
        <a:ln>
          <a:noFill/>
        </a:ln>
      </c:spPr>
    </c:plotArea>
    <c:plotVisOnly val="1"/>
    <c:dispBlanksAs val="gap"/>
    <c:showDLblsOverMax val="1"/>
  </c:chart>
  <c:spPr>
    <a:noFill/>
    <a:ln w="9360">
      <a:noFill/>
    </a:ln>
  </c:spPr>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Urszulin</c:v>
                </c:pt>
                <c:pt idx="2">
                  <c:v>Cyców</c:v>
                </c:pt>
                <c:pt idx="3">
                  <c:v>Puchaczów</c:v>
                </c:pt>
                <c:pt idx="4">
                  <c:v>Ludwin</c:v>
                </c:pt>
              </c:strCache>
            </c:strRef>
          </c:cat>
          <c:val>
            <c:numRef>
              <c:f>0</c:f>
              <c:numCache>
                <c:formatCode>General</c:formatCode>
                <c:ptCount val="5"/>
                <c:pt idx="0">
                  <c:v>34810</c:v>
                </c:pt>
                <c:pt idx="1">
                  <c:v>30109</c:v>
                </c:pt>
                <c:pt idx="2">
                  <c:v>26892</c:v>
                </c:pt>
                <c:pt idx="3">
                  <c:v>17515</c:v>
                </c:pt>
                <c:pt idx="4">
                  <c:v>19396</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Urszulin</c:v>
                </c:pt>
                <c:pt idx="2">
                  <c:v>Cyców</c:v>
                </c:pt>
                <c:pt idx="3">
                  <c:v>Puchaczów</c:v>
                </c:pt>
                <c:pt idx="4">
                  <c:v>Ludwin</c:v>
                </c:pt>
              </c:strCache>
            </c:strRef>
          </c:cat>
          <c:val>
            <c:numRef>
              <c:f>1</c:f>
              <c:numCache>
                <c:formatCode>General</c:formatCode>
                <c:ptCount val="5"/>
                <c:pt idx="0">
                  <c:v>35336</c:v>
                </c:pt>
                <c:pt idx="1">
                  <c:v>33531</c:v>
                </c:pt>
                <c:pt idx="2">
                  <c:v>29077</c:v>
                </c:pt>
                <c:pt idx="3">
                  <c:v>20661</c:v>
                </c:pt>
                <c:pt idx="4">
                  <c:v>16763</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Urszulin</c:v>
                </c:pt>
                <c:pt idx="2">
                  <c:v>Cyców</c:v>
                </c:pt>
                <c:pt idx="3">
                  <c:v>Puchaczów</c:v>
                </c:pt>
                <c:pt idx="4">
                  <c:v>Ludwin</c:v>
                </c:pt>
              </c:strCache>
            </c:strRef>
          </c:cat>
          <c:val>
            <c:numRef>
              <c:f>2</c:f>
              <c:numCache>
                <c:formatCode>General</c:formatCode>
                <c:ptCount val="5"/>
                <c:pt idx="0">
                  <c:v>35015</c:v>
                </c:pt>
                <c:pt idx="1">
                  <c:v>31878</c:v>
                </c:pt>
                <c:pt idx="2">
                  <c:v>27493</c:v>
                </c:pt>
                <c:pt idx="3">
                  <c:v>19348</c:v>
                </c:pt>
                <c:pt idx="4">
                  <c:v>14855</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Urszulin</c:v>
                </c:pt>
                <c:pt idx="2">
                  <c:v>Cyców</c:v>
                </c:pt>
                <c:pt idx="3">
                  <c:v>Puchaczów</c:v>
                </c:pt>
                <c:pt idx="4">
                  <c:v>Ludwin</c:v>
                </c:pt>
              </c:strCache>
            </c:strRef>
          </c:cat>
          <c:val>
            <c:numRef>
              <c:f>3</c:f>
              <c:numCache>
                <c:formatCode>General</c:formatCode>
                <c:ptCount val="5"/>
                <c:pt idx="0">
                  <c:v>33786</c:v>
                </c:pt>
                <c:pt idx="1">
                  <c:v>33774</c:v>
                </c:pt>
                <c:pt idx="2">
                  <c:v>36010</c:v>
                </c:pt>
                <c:pt idx="3">
                  <c:v>18402</c:v>
                </c:pt>
                <c:pt idx="4">
                  <c:v>16033</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Milejów</c:v>
                </c:pt>
                <c:pt idx="1">
                  <c:v>Urszulin</c:v>
                </c:pt>
                <c:pt idx="2">
                  <c:v>Cyców</c:v>
                </c:pt>
                <c:pt idx="3">
                  <c:v>Puchaczów</c:v>
                </c:pt>
                <c:pt idx="4">
                  <c:v>Ludwin</c:v>
                </c:pt>
              </c:strCache>
            </c:strRef>
          </c:cat>
          <c:val>
            <c:numRef>
              <c:f>4</c:f>
              <c:numCache>
                <c:formatCode>General</c:formatCode>
                <c:ptCount val="5"/>
                <c:pt idx="0">
                  <c:v>34838</c:v>
                </c:pt>
                <c:pt idx="1">
                  <c:v>33431</c:v>
                </c:pt>
                <c:pt idx="2">
                  <c:v>32981</c:v>
                </c:pt>
                <c:pt idx="3">
                  <c:v>20186</c:v>
                </c:pt>
                <c:pt idx="4">
                  <c:v>20031</c:v>
                </c:pt>
              </c:numCache>
            </c:numRef>
          </c:val>
        </c:ser>
        <c:dLbls>
          <c:showLegendKey val="0"/>
          <c:showVal val="0"/>
          <c:showCatName val="0"/>
          <c:showSerName val="0"/>
          <c:showPercent val="0"/>
          <c:showBubbleSize val="0"/>
        </c:dLbls>
        <c:gapWidth val="219"/>
        <c:overlap val="-27"/>
        <c:axId val="209300480"/>
        <c:axId val="209399744"/>
      </c:barChart>
      <c:catAx>
        <c:axId val="209300480"/>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9399744"/>
        <c:crosses val="autoZero"/>
        <c:auto val="1"/>
        <c:lblAlgn val="ctr"/>
        <c:lblOffset val="100"/>
        <c:noMultiLvlLbl val="1"/>
      </c:catAx>
      <c:valAx>
        <c:axId val="209399744"/>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209300480"/>
        <c:crosses val="autoZero"/>
        <c:crossBetween val="between"/>
        <c:majorUnit val="10000"/>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2017</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0</c:f>
              <c:numCache>
                <c:formatCode>General</c:formatCode>
                <c:ptCount val="10"/>
                <c:pt idx="0">
                  <c:v>7238.33</c:v>
                </c:pt>
                <c:pt idx="1">
                  <c:v>6934.51</c:v>
                </c:pt>
                <c:pt idx="2">
                  <c:v>4575.59</c:v>
                </c:pt>
                <c:pt idx="3">
                  <c:v>4545.97</c:v>
                </c:pt>
                <c:pt idx="4">
                  <c:v>4556.84</c:v>
                </c:pt>
                <c:pt idx="5">
                  <c:v>4454.45</c:v>
                </c:pt>
                <c:pt idx="6">
                  <c:v>4485.8900000000003</c:v>
                </c:pt>
                <c:pt idx="7">
                  <c:v>4386.3500000000004</c:v>
                </c:pt>
                <c:pt idx="8">
                  <c:v>3856.04</c:v>
                </c:pt>
                <c:pt idx="9">
                  <c:v>3898.58</c:v>
                </c:pt>
              </c:numCache>
            </c:numRef>
          </c:val>
        </c:ser>
        <c:ser>
          <c:idx val="1"/>
          <c:order val="1"/>
          <c:tx>
            <c:strRef>
              <c:f>label 1</c:f>
              <c:strCache>
                <c:ptCount val="1"/>
                <c:pt idx="0">
                  <c:v>2018</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1</c:f>
              <c:numCache>
                <c:formatCode>General</c:formatCode>
                <c:ptCount val="10"/>
                <c:pt idx="0">
                  <c:v>7433.16</c:v>
                </c:pt>
                <c:pt idx="1">
                  <c:v>7824.54</c:v>
                </c:pt>
                <c:pt idx="2">
                  <c:v>5381.82</c:v>
                </c:pt>
                <c:pt idx="3">
                  <c:v>5901.75</c:v>
                </c:pt>
                <c:pt idx="4">
                  <c:v>5473.05</c:v>
                </c:pt>
                <c:pt idx="5">
                  <c:v>5504.61</c:v>
                </c:pt>
                <c:pt idx="6">
                  <c:v>4568.18</c:v>
                </c:pt>
                <c:pt idx="7">
                  <c:v>4548.67</c:v>
                </c:pt>
                <c:pt idx="8">
                  <c:v>4882.1899999999996</c:v>
                </c:pt>
                <c:pt idx="9">
                  <c:v>5468.55</c:v>
                </c:pt>
              </c:numCache>
            </c:numRef>
          </c:val>
        </c:ser>
        <c:ser>
          <c:idx val="2"/>
          <c:order val="2"/>
          <c:tx>
            <c:strRef>
              <c:f>label 2</c:f>
              <c:strCache>
                <c:ptCount val="1"/>
                <c:pt idx="0">
                  <c:v>2019</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10"/>
              </c:strCache>
            </c:strRef>
          </c:cat>
          <c:val>
            <c:numRef>
              <c:f>2</c:f>
              <c:numCache>
                <c:formatCode>General</c:formatCode>
                <c:ptCount val="10"/>
                <c:pt idx="0">
                  <c:v>9248.2099999999991</c:v>
                </c:pt>
                <c:pt idx="1">
                  <c:v>7931.24</c:v>
                </c:pt>
                <c:pt idx="2">
                  <c:v>7694.01</c:v>
                </c:pt>
                <c:pt idx="3">
                  <c:v>6463.86</c:v>
                </c:pt>
                <c:pt idx="4">
                  <c:v>6252.71</c:v>
                </c:pt>
                <c:pt idx="5">
                  <c:v>6837.84</c:v>
                </c:pt>
                <c:pt idx="6">
                  <c:v>5480.6</c:v>
                </c:pt>
                <c:pt idx="7">
                  <c:v>5101.3599999999997</c:v>
                </c:pt>
                <c:pt idx="8">
                  <c:v>5239.83</c:v>
                </c:pt>
                <c:pt idx="9">
                  <c:v>5794.55</c:v>
                </c:pt>
              </c:numCache>
            </c:numRef>
          </c:val>
        </c:ser>
        <c:dLbls>
          <c:showLegendKey val="0"/>
          <c:showVal val="0"/>
          <c:showCatName val="0"/>
          <c:showSerName val="0"/>
          <c:showPercent val="0"/>
          <c:showBubbleSize val="0"/>
        </c:dLbls>
        <c:gapWidth val="219"/>
        <c:overlap val="-27"/>
        <c:axId val="210034688"/>
        <c:axId val="209401472"/>
      </c:barChart>
      <c:catAx>
        <c:axId val="21003468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209401472"/>
        <c:crosses val="autoZero"/>
        <c:auto val="1"/>
        <c:lblAlgn val="ctr"/>
        <c:lblOffset val="100"/>
        <c:noMultiLvlLbl val="1"/>
      </c:catAx>
      <c:valAx>
        <c:axId val="209401472"/>
        <c:scaling>
          <c:orientation val="minMax"/>
        </c:scaling>
        <c:delete val="1"/>
        <c:axPos val="l"/>
        <c:numFmt formatCode="###,0\.00" sourceLinked="0"/>
        <c:majorTickMark val="none"/>
        <c:minorTickMark val="none"/>
        <c:tickLblPos val="nextTo"/>
        <c:crossAx val="210034688"/>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percentStacked"/>
        <c:varyColors val="0"/>
        <c:ser>
          <c:idx val="0"/>
          <c:order val="0"/>
          <c:tx>
            <c:strRef>
              <c:f>label 0</c:f>
              <c:strCache>
                <c:ptCount val="1"/>
                <c:pt idx="0">
                  <c:v>Dział 010</c:v>
                </c:pt>
              </c:strCache>
            </c:strRef>
          </c:tx>
          <c:spPr>
            <a:solidFill>
              <a:srgbClr val="5B9BD5"/>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0</c:f>
              <c:numCache>
                <c:formatCode>General</c:formatCode>
                <c:ptCount val="15"/>
                <c:pt idx="0">
                  <c:v>613631.49</c:v>
                </c:pt>
                <c:pt idx="1">
                  <c:v>601956.62</c:v>
                </c:pt>
                <c:pt idx="2">
                  <c:v>764675.57</c:v>
                </c:pt>
                <c:pt idx="3">
                  <c:v>365772.4</c:v>
                </c:pt>
                <c:pt idx="4">
                  <c:v>363521.3</c:v>
                </c:pt>
                <c:pt idx="5">
                  <c:v>447374.57</c:v>
                </c:pt>
                <c:pt idx="6">
                  <c:v>333220.2</c:v>
                </c:pt>
                <c:pt idx="7">
                  <c:v>1386129.72</c:v>
                </c:pt>
                <c:pt idx="8">
                  <c:v>442718.6</c:v>
                </c:pt>
                <c:pt idx="9">
                  <c:v>581629.28</c:v>
                </c:pt>
                <c:pt idx="10">
                  <c:v>2272731.9500000002</c:v>
                </c:pt>
                <c:pt idx="11">
                  <c:v>343802.46</c:v>
                </c:pt>
                <c:pt idx="12">
                  <c:v>473733.77</c:v>
                </c:pt>
                <c:pt idx="13">
                  <c:v>458515.71</c:v>
                </c:pt>
                <c:pt idx="14">
                  <c:v>594109.59</c:v>
                </c:pt>
              </c:numCache>
            </c:numRef>
          </c:val>
        </c:ser>
        <c:ser>
          <c:idx val="1"/>
          <c:order val="1"/>
          <c:tx>
            <c:strRef>
              <c:f>label 1</c:f>
              <c:strCache>
                <c:ptCount val="1"/>
                <c:pt idx="0">
                  <c:v>Dział 400</c:v>
                </c:pt>
              </c:strCache>
            </c:strRef>
          </c:tx>
          <c:spPr>
            <a:solidFill>
              <a:srgbClr val="ED7D31"/>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c:f>
              <c:numCache>
                <c:formatCode>General</c:formatCode>
                <c:ptCount val="15"/>
                <c:pt idx="0">
                  <c:v>1476963.18</c:v>
                </c:pt>
                <c:pt idx="1">
                  <c:v>795917.65</c:v>
                </c:pt>
                <c:pt idx="2">
                  <c:v>802977.54</c:v>
                </c:pt>
                <c:pt idx="3">
                  <c:v>571392.13</c:v>
                </c:pt>
                <c:pt idx="4">
                  <c:v>590057.03</c:v>
                </c:pt>
                <c:pt idx="5">
                  <c:v>595273.71</c:v>
                </c:pt>
                <c:pt idx="6">
                  <c:v>692423.5</c:v>
                </c:pt>
                <c:pt idx="7">
                  <c:v>730254.87</c:v>
                </c:pt>
                <c:pt idx="8">
                  <c:v>793853.98</c:v>
                </c:pt>
                <c:pt idx="9">
                  <c:v>0</c:v>
                </c:pt>
                <c:pt idx="10">
                  <c:v>0</c:v>
                </c:pt>
                <c:pt idx="11">
                  <c:v>0</c:v>
                </c:pt>
                <c:pt idx="12">
                  <c:v>3316</c:v>
                </c:pt>
                <c:pt idx="13">
                  <c:v>0</c:v>
                </c:pt>
                <c:pt idx="14">
                  <c:v>0</c:v>
                </c:pt>
              </c:numCache>
            </c:numRef>
          </c:val>
        </c:ser>
        <c:ser>
          <c:idx val="2"/>
          <c:order val="2"/>
          <c:tx>
            <c:strRef>
              <c:f>label 2</c:f>
              <c:strCache>
                <c:ptCount val="1"/>
                <c:pt idx="0">
                  <c:v>Dział 600</c:v>
                </c:pt>
              </c:strCache>
            </c:strRef>
          </c:tx>
          <c:spPr>
            <a:solidFill>
              <a:srgbClr val="A5A5A5"/>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2</c:f>
              <c:numCache>
                <c:formatCode>General</c:formatCode>
                <c:ptCount val="15"/>
                <c:pt idx="0">
                  <c:v>100865.98</c:v>
                </c:pt>
                <c:pt idx="1">
                  <c:v>37102.99</c:v>
                </c:pt>
                <c:pt idx="2">
                  <c:v>7287.72</c:v>
                </c:pt>
                <c:pt idx="3">
                  <c:v>40000</c:v>
                </c:pt>
                <c:pt idx="4">
                  <c:v>50000</c:v>
                </c:pt>
                <c:pt idx="5">
                  <c:v>357784.54</c:v>
                </c:pt>
                <c:pt idx="6">
                  <c:v>34990.81</c:v>
                </c:pt>
                <c:pt idx="7">
                  <c:v>82986.570000000007</c:v>
                </c:pt>
                <c:pt idx="8">
                  <c:v>1075015.79</c:v>
                </c:pt>
                <c:pt idx="9">
                  <c:v>7445.94</c:v>
                </c:pt>
                <c:pt idx="10">
                  <c:v>8981.1299999999992</c:v>
                </c:pt>
                <c:pt idx="11">
                  <c:v>8030.86</c:v>
                </c:pt>
                <c:pt idx="12">
                  <c:v>45494.080000000002</c:v>
                </c:pt>
                <c:pt idx="13">
                  <c:v>2324532.25</c:v>
                </c:pt>
                <c:pt idx="14">
                  <c:v>895850.49</c:v>
                </c:pt>
              </c:numCache>
            </c:numRef>
          </c:val>
        </c:ser>
        <c:ser>
          <c:idx val="3"/>
          <c:order val="3"/>
          <c:tx>
            <c:strRef>
              <c:f>label 3</c:f>
              <c:strCache>
                <c:ptCount val="1"/>
                <c:pt idx="0">
                  <c:v>Dział 630</c:v>
                </c:pt>
              </c:strCache>
            </c:strRef>
          </c:tx>
          <c:spPr>
            <a:solidFill>
              <a:srgbClr val="FFC000"/>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3</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40885</c:v>
                </c:pt>
                <c:pt idx="12">
                  <c:v>0</c:v>
                </c:pt>
                <c:pt idx="13">
                  <c:v>0</c:v>
                </c:pt>
                <c:pt idx="14">
                  <c:v>73217.45</c:v>
                </c:pt>
              </c:numCache>
            </c:numRef>
          </c:val>
        </c:ser>
        <c:ser>
          <c:idx val="4"/>
          <c:order val="4"/>
          <c:tx>
            <c:strRef>
              <c:f>label 4</c:f>
              <c:strCache>
                <c:ptCount val="1"/>
                <c:pt idx="0">
                  <c:v>Dział 700</c:v>
                </c:pt>
              </c:strCache>
            </c:strRef>
          </c:tx>
          <c:spPr>
            <a:solidFill>
              <a:srgbClr val="4472C4"/>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4</c:f>
              <c:numCache>
                <c:formatCode>General</c:formatCode>
                <c:ptCount val="15"/>
                <c:pt idx="0">
                  <c:v>235591.76</c:v>
                </c:pt>
                <c:pt idx="1">
                  <c:v>86658.71</c:v>
                </c:pt>
                <c:pt idx="2">
                  <c:v>120082.2</c:v>
                </c:pt>
                <c:pt idx="3">
                  <c:v>126815.89</c:v>
                </c:pt>
                <c:pt idx="4">
                  <c:v>1173481.75</c:v>
                </c:pt>
                <c:pt idx="5">
                  <c:v>253941.73</c:v>
                </c:pt>
                <c:pt idx="6">
                  <c:v>391725.58</c:v>
                </c:pt>
                <c:pt idx="7">
                  <c:v>122926.07</c:v>
                </c:pt>
                <c:pt idx="8">
                  <c:v>161459.49</c:v>
                </c:pt>
                <c:pt idx="9">
                  <c:v>334388.49</c:v>
                </c:pt>
                <c:pt idx="10">
                  <c:v>993501.81</c:v>
                </c:pt>
                <c:pt idx="11">
                  <c:v>310663.98</c:v>
                </c:pt>
                <c:pt idx="12">
                  <c:v>653019.53</c:v>
                </c:pt>
                <c:pt idx="13">
                  <c:v>419300.75</c:v>
                </c:pt>
                <c:pt idx="14">
                  <c:v>316207.42</c:v>
                </c:pt>
              </c:numCache>
            </c:numRef>
          </c:val>
        </c:ser>
        <c:ser>
          <c:idx val="5"/>
          <c:order val="5"/>
          <c:tx>
            <c:strRef>
              <c:f>label 5</c:f>
              <c:strCache>
                <c:ptCount val="1"/>
                <c:pt idx="0">
                  <c:v>Dział 710</c:v>
                </c:pt>
              </c:strCache>
            </c:strRef>
          </c:tx>
          <c:spPr>
            <a:solidFill>
              <a:srgbClr val="70AD47"/>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5</c:f>
              <c:numCache>
                <c:formatCode>General</c:formatCode>
                <c:ptCount val="15"/>
                <c:pt idx="0">
                  <c:v>37683</c:v>
                </c:pt>
                <c:pt idx="1">
                  <c:v>0</c:v>
                </c:pt>
                <c:pt idx="2">
                  <c:v>0</c:v>
                </c:pt>
                <c:pt idx="3">
                  <c:v>0</c:v>
                </c:pt>
                <c:pt idx="4">
                  <c:v>0</c:v>
                </c:pt>
                <c:pt idx="5">
                  <c:v>0</c:v>
                </c:pt>
                <c:pt idx="6">
                  <c:v>0</c:v>
                </c:pt>
                <c:pt idx="7">
                  <c:v>0</c:v>
                </c:pt>
                <c:pt idx="8">
                  <c:v>30763.09</c:v>
                </c:pt>
                <c:pt idx="9">
                  <c:v>0</c:v>
                </c:pt>
                <c:pt idx="10">
                  <c:v>0</c:v>
                </c:pt>
                <c:pt idx="11">
                  <c:v>0</c:v>
                </c:pt>
                <c:pt idx="12">
                  <c:v>0</c:v>
                </c:pt>
                <c:pt idx="13">
                  <c:v>0</c:v>
                </c:pt>
                <c:pt idx="14">
                  <c:v>3500</c:v>
                </c:pt>
              </c:numCache>
            </c:numRef>
          </c:val>
        </c:ser>
        <c:ser>
          <c:idx val="6"/>
          <c:order val="6"/>
          <c:tx>
            <c:strRef>
              <c:f>label 6</c:f>
              <c:strCache>
                <c:ptCount val="1"/>
                <c:pt idx="0">
                  <c:v>Dział 720</c:v>
                </c:pt>
              </c:strCache>
            </c:strRef>
          </c:tx>
          <c:spPr>
            <a:solidFill>
              <a:srgbClr val="255E91"/>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6</c:f>
              <c:numCache>
                <c:formatCode>General</c:formatCode>
                <c:ptCount val="15"/>
                <c:pt idx="0">
                  <c:v>0</c:v>
                </c:pt>
                <c:pt idx="1">
                  <c:v>17213.990000000002</c:v>
                </c:pt>
                <c:pt idx="2">
                  <c:v>36785.97</c:v>
                </c:pt>
                <c:pt idx="3">
                  <c:v>5543.55</c:v>
                </c:pt>
                <c:pt idx="4">
                  <c:v>0</c:v>
                </c:pt>
                <c:pt idx="5">
                  <c:v>61488.17</c:v>
                </c:pt>
                <c:pt idx="6">
                  <c:v>12000</c:v>
                </c:pt>
                <c:pt idx="7">
                  <c:v>60480</c:v>
                </c:pt>
                <c:pt idx="8">
                  <c:v>0</c:v>
                </c:pt>
                <c:pt idx="9">
                  <c:v>0</c:v>
                </c:pt>
                <c:pt idx="10">
                  <c:v>18122</c:v>
                </c:pt>
                <c:pt idx="11">
                  <c:v>2016</c:v>
                </c:pt>
                <c:pt idx="12">
                  <c:v>0</c:v>
                </c:pt>
                <c:pt idx="13">
                  <c:v>0</c:v>
                </c:pt>
                <c:pt idx="14">
                  <c:v>0</c:v>
                </c:pt>
              </c:numCache>
            </c:numRef>
          </c:val>
        </c:ser>
        <c:ser>
          <c:idx val="7"/>
          <c:order val="7"/>
          <c:tx>
            <c:strRef>
              <c:f>label 7</c:f>
              <c:strCache>
                <c:ptCount val="1"/>
                <c:pt idx="0">
                  <c:v>Dział 750</c:v>
                </c:pt>
              </c:strCache>
            </c:strRef>
          </c:tx>
          <c:spPr>
            <a:solidFill>
              <a:srgbClr val="9E480E"/>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7</c:f>
              <c:numCache>
                <c:formatCode>General</c:formatCode>
                <c:ptCount val="15"/>
                <c:pt idx="0">
                  <c:v>95320.63</c:v>
                </c:pt>
                <c:pt idx="1">
                  <c:v>112557.67</c:v>
                </c:pt>
                <c:pt idx="2">
                  <c:v>129312.8</c:v>
                </c:pt>
                <c:pt idx="3">
                  <c:v>86984.22</c:v>
                </c:pt>
                <c:pt idx="4">
                  <c:v>269771.8</c:v>
                </c:pt>
                <c:pt idx="5">
                  <c:v>88838.62</c:v>
                </c:pt>
                <c:pt idx="6">
                  <c:v>179087.28</c:v>
                </c:pt>
                <c:pt idx="7">
                  <c:v>645032.23</c:v>
                </c:pt>
                <c:pt idx="8">
                  <c:v>190839.37</c:v>
                </c:pt>
                <c:pt idx="9">
                  <c:v>133507.01</c:v>
                </c:pt>
                <c:pt idx="10">
                  <c:v>186263.14</c:v>
                </c:pt>
                <c:pt idx="11">
                  <c:v>423764.12</c:v>
                </c:pt>
                <c:pt idx="12">
                  <c:v>67453.3</c:v>
                </c:pt>
                <c:pt idx="13">
                  <c:v>78172.22</c:v>
                </c:pt>
                <c:pt idx="14">
                  <c:v>113877.85</c:v>
                </c:pt>
              </c:numCache>
            </c:numRef>
          </c:val>
        </c:ser>
        <c:ser>
          <c:idx val="8"/>
          <c:order val="8"/>
          <c:tx>
            <c:strRef>
              <c:f>label 8</c:f>
              <c:strCache>
                <c:ptCount val="1"/>
                <c:pt idx="0">
                  <c:v>Dział 751</c:v>
                </c:pt>
              </c:strCache>
            </c:strRef>
          </c:tx>
          <c:spPr>
            <a:solidFill>
              <a:srgbClr val="636363"/>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8</c:f>
              <c:numCache>
                <c:formatCode>General</c:formatCode>
                <c:ptCount val="15"/>
                <c:pt idx="0">
                  <c:v>1920</c:v>
                </c:pt>
                <c:pt idx="1">
                  <c:v>161588</c:v>
                </c:pt>
                <c:pt idx="2">
                  <c:v>110003</c:v>
                </c:pt>
                <c:pt idx="3">
                  <c:v>1700</c:v>
                </c:pt>
                <c:pt idx="4">
                  <c:v>62435.21</c:v>
                </c:pt>
                <c:pt idx="5">
                  <c:v>55677</c:v>
                </c:pt>
                <c:pt idx="6">
                  <c:v>2251.38</c:v>
                </c:pt>
                <c:pt idx="7">
                  <c:v>95355.77</c:v>
                </c:pt>
                <c:pt idx="8">
                  <c:v>94726.54</c:v>
                </c:pt>
                <c:pt idx="9">
                  <c:v>1824</c:v>
                </c:pt>
                <c:pt idx="10">
                  <c:v>69350.600000000006</c:v>
                </c:pt>
                <c:pt idx="11">
                  <c:v>61057</c:v>
                </c:pt>
                <c:pt idx="12">
                  <c:v>1871.65</c:v>
                </c:pt>
                <c:pt idx="13">
                  <c:v>60561.41</c:v>
                </c:pt>
                <c:pt idx="14">
                  <c:v>49824.36</c:v>
                </c:pt>
              </c:numCache>
            </c:numRef>
          </c:val>
        </c:ser>
        <c:ser>
          <c:idx val="9"/>
          <c:order val="9"/>
          <c:tx>
            <c:strRef>
              <c:f>label 9</c:f>
              <c:strCache>
                <c:ptCount val="1"/>
                <c:pt idx="0">
                  <c:v>Dział 752</c:v>
                </c:pt>
              </c:strCache>
            </c:strRef>
          </c:tx>
          <c:spPr>
            <a:solidFill>
              <a:srgbClr val="997300"/>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9</c:f>
              <c:numCache>
                <c:formatCode>General</c:formatCode>
                <c:ptCount val="15"/>
                <c:pt idx="0">
                  <c:v>0</c:v>
                </c:pt>
                <c:pt idx="1">
                  <c:v>0</c:v>
                </c:pt>
                <c:pt idx="2">
                  <c:v>0</c:v>
                </c:pt>
                <c:pt idx="3">
                  <c:v>1300</c:v>
                </c:pt>
                <c:pt idx="4">
                  <c:v>1499.99</c:v>
                </c:pt>
                <c:pt idx="5">
                  <c:v>0</c:v>
                </c:pt>
                <c:pt idx="6">
                  <c:v>210</c:v>
                </c:pt>
                <c:pt idx="7">
                  <c:v>0</c:v>
                </c:pt>
                <c:pt idx="8">
                  <c:v>0</c:v>
                </c:pt>
                <c:pt idx="9">
                  <c:v>0</c:v>
                </c:pt>
                <c:pt idx="10">
                  <c:v>0</c:v>
                </c:pt>
                <c:pt idx="11">
                  <c:v>0</c:v>
                </c:pt>
                <c:pt idx="12">
                  <c:v>0</c:v>
                </c:pt>
                <c:pt idx="13">
                  <c:v>0</c:v>
                </c:pt>
                <c:pt idx="14">
                  <c:v>0</c:v>
                </c:pt>
              </c:numCache>
            </c:numRef>
          </c:val>
        </c:ser>
        <c:ser>
          <c:idx val="10"/>
          <c:order val="10"/>
          <c:tx>
            <c:strRef>
              <c:f>label 10</c:f>
              <c:strCache>
                <c:ptCount val="1"/>
                <c:pt idx="0">
                  <c:v>Dział 754</c:v>
                </c:pt>
              </c:strCache>
            </c:strRef>
          </c:tx>
          <c:spPr>
            <a:solidFill>
              <a:srgbClr val="264478"/>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10</c:f>
              <c:numCache>
                <c:formatCode>General</c:formatCode>
                <c:ptCount val="15"/>
                <c:pt idx="0">
                  <c:v>0</c:v>
                </c:pt>
                <c:pt idx="1">
                  <c:v>11481</c:v>
                </c:pt>
                <c:pt idx="2">
                  <c:v>0</c:v>
                </c:pt>
                <c:pt idx="3">
                  <c:v>444690.37</c:v>
                </c:pt>
                <c:pt idx="4">
                  <c:v>63586.81</c:v>
                </c:pt>
                <c:pt idx="5">
                  <c:v>60553.24</c:v>
                </c:pt>
                <c:pt idx="6">
                  <c:v>462093.36</c:v>
                </c:pt>
                <c:pt idx="7">
                  <c:v>37450.15</c:v>
                </c:pt>
                <c:pt idx="8">
                  <c:v>61083.29</c:v>
                </c:pt>
                <c:pt idx="9">
                  <c:v>2000</c:v>
                </c:pt>
                <c:pt idx="10">
                  <c:v>41418.26</c:v>
                </c:pt>
                <c:pt idx="11">
                  <c:v>1700</c:v>
                </c:pt>
                <c:pt idx="12">
                  <c:v>47.95</c:v>
                </c:pt>
                <c:pt idx="13">
                  <c:v>41878.839999999997</c:v>
                </c:pt>
                <c:pt idx="14">
                  <c:v>0</c:v>
                </c:pt>
              </c:numCache>
            </c:numRef>
          </c:val>
        </c:ser>
        <c:ser>
          <c:idx val="11"/>
          <c:order val="11"/>
          <c:tx>
            <c:strRef>
              <c:f>label 11</c:f>
              <c:strCache>
                <c:ptCount val="1"/>
                <c:pt idx="0">
                  <c:v>Dział 756</c:v>
                </c:pt>
              </c:strCache>
            </c:strRef>
          </c:tx>
          <c:spPr>
            <a:solidFill>
              <a:srgbClr val="43682B"/>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11</c:f>
              <c:numCache>
                <c:formatCode>General</c:formatCode>
                <c:ptCount val="15"/>
                <c:pt idx="0">
                  <c:v>13280805.23</c:v>
                </c:pt>
                <c:pt idx="1">
                  <c:v>17070295.370000001</c:v>
                </c:pt>
                <c:pt idx="2">
                  <c:v>34927919.549999997</c:v>
                </c:pt>
                <c:pt idx="3">
                  <c:v>7530925.4900000002</c:v>
                </c:pt>
                <c:pt idx="4">
                  <c:v>7991467.6799999997</c:v>
                </c:pt>
                <c:pt idx="5">
                  <c:v>11283895</c:v>
                </c:pt>
                <c:pt idx="6">
                  <c:v>8742109.8300000001</c:v>
                </c:pt>
                <c:pt idx="7">
                  <c:v>9467543.7699999996</c:v>
                </c:pt>
                <c:pt idx="8">
                  <c:v>10353862.85</c:v>
                </c:pt>
                <c:pt idx="9">
                  <c:v>23879916.829999998</c:v>
                </c:pt>
                <c:pt idx="10">
                  <c:v>20508168.579999998</c:v>
                </c:pt>
                <c:pt idx="11">
                  <c:v>31027728.649999999</c:v>
                </c:pt>
                <c:pt idx="12">
                  <c:v>4270764.72</c:v>
                </c:pt>
                <c:pt idx="13">
                  <c:v>4517547.6500000004</c:v>
                </c:pt>
                <c:pt idx="14">
                  <c:v>5429551.2599999998</c:v>
                </c:pt>
              </c:numCache>
            </c:numRef>
          </c:val>
        </c:ser>
        <c:ser>
          <c:idx val="12"/>
          <c:order val="12"/>
          <c:tx>
            <c:strRef>
              <c:f>label 12</c:f>
              <c:strCache>
                <c:ptCount val="1"/>
                <c:pt idx="0">
                  <c:v>Dział 758</c:v>
                </c:pt>
              </c:strCache>
            </c:strRef>
          </c:tx>
          <c:spPr>
            <a:solidFill>
              <a:srgbClr val="7CAFDD"/>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12</c:f>
              <c:numCache>
                <c:formatCode>General</c:formatCode>
                <c:ptCount val="15"/>
                <c:pt idx="0">
                  <c:v>8266931.2699999996</c:v>
                </c:pt>
                <c:pt idx="1">
                  <c:v>8376655.9400000004</c:v>
                </c:pt>
                <c:pt idx="2">
                  <c:v>8982036.8100000005</c:v>
                </c:pt>
                <c:pt idx="3">
                  <c:v>6849496.2400000002</c:v>
                </c:pt>
                <c:pt idx="4">
                  <c:v>6093471.9699999997</c:v>
                </c:pt>
                <c:pt idx="5">
                  <c:v>6969677.9699999997</c:v>
                </c:pt>
                <c:pt idx="6">
                  <c:v>10973584.630000001</c:v>
                </c:pt>
                <c:pt idx="7">
                  <c:v>12174174.529999999</c:v>
                </c:pt>
                <c:pt idx="8">
                  <c:v>13237879.41</c:v>
                </c:pt>
                <c:pt idx="9">
                  <c:v>7353317.2999999998</c:v>
                </c:pt>
                <c:pt idx="10">
                  <c:v>7493576.7599999998</c:v>
                </c:pt>
                <c:pt idx="11">
                  <c:v>7964059.2999999998</c:v>
                </c:pt>
                <c:pt idx="12">
                  <c:v>6019915.2199999997</c:v>
                </c:pt>
                <c:pt idx="13">
                  <c:v>6304720.5599999996</c:v>
                </c:pt>
                <c:pt idx="14">
                  <c:v>6949125.9400000004</c:v>
                </c:pt>
              </c:numCache>
            </c:numRef>
          </c:val>
        </c:ser>
        <c:ser>
          <c:idx val="13"/>
          <c:order val="13"/>
          <c:tx>
            <c:strRef>
              <c:f>label 13</c:f>
              <c:strCache>
                <c:ptCount val="1"/>
                <c:pt idx="0">
                  <c:v>Dział 801</c:v>
                </c:pt>
              </c:strCache>
            </c:strRef>
          </c:tx>
          <c:spPr>
            <a:solidFill>
              <a:srgbClr val="F1975A"/>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13</c:f>
              <c:numCache>
                <c:formatCode>General</c:formatCode>
                <c:ptCount val="15"/>
                <c:pt idx="0">
                  <c:v>652869.79</c:v>
                </c:pt>
                <c:pt idx="1">
                  <c:v>2881452.97</c:v>
                </c:pt>
                <c:pt idx="2">
                  <c:v>1562705.66</c:v>
                </c:pt>
                <c:pt idx="3">
                  <c:v>404878.55</c:v>
                </c:pt>
                <c:pt idx="4">
                  <c:v>420318.59</c:v>
                </c:pt>
                <c:pt idx="5">
                  <c:v>853639.61</c:v>
                </c:pt>
                <c:pt idx="6">
                  <c:v>551251.07999999996</c:v>
                </c:pt>
                <c:pt idx="7">
                  <c:v>657538.22</c:v>
                </c:pt>
                <c:pt idx="8">
                  <c:v>1331176.75</c:v>
                </c:pt>
                <c:pt idx="9">
                  <c:v>925192.47</c:v>
                </c:pt>
                <c:pt idx="10">
                  <c:v>1027131.27</c:v>
                </c:pt>
                <c:pt idx="11">
                  <c:v>1068937.3400000001</c:v>
                </c:pt>
                <c:pt idx="12">
                  <c:v>1020448.06</c:v>
                </c:pt>
                <c:pt idx="13">
                  <c:v>1507057.61</c:v>
                </c:pt>
                <c:pt idx="14">
                  <c:v>941006.28</c:v>
                </c:pt>
              </c:numCache>
            </c:numRef>
          </c:val>
        </c:ser>
        <c:ser>
          <c:idx val="14"/>
          <c:order val="14"/>
          <c:tx>
            <c:strRef>
              <c:f>label 14</c:f>
              <c:strCache>
                <c:ptCount val="1"/>
                <c:pt idx="0">
                  <c:v>Dział 852</c:v>
                </c:pt>
              </c:strCache>
            </c:strRef>
          </c:tx>
          <c:spPr>
            <a:solidFill>
              <a:srgbClr val="B7B7B7"/>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14</c:f>
              <c:numCache>
                <c:formatCode>General</c:formatCode>
                <c:ptCount val="15"/>
                <c:pt idx="0">
                  <c:v>569691.54</c:v>
                </c:pt>
                <c:pt idx="1">
                  <c:v>565456.31000000006</c:v>
                </c:pt>
                <c:pt idx="2">
                  <c:v>572468.74</c:v>
                </c:pt>
                <c:pt idx="3">
                  <c:v>560776.43999999994</c:v>
                </c:pt>
                <c:pt idx="4">
                  <c:v>557646.59</c:v>
                </c:pt>
                <c:pt idx="5">
                  <c:v>509693.34</c:v>
                </c:pt>
                <c:pt idx="6">
                  <c:v>1519948.39</c:v>
                </c:pt>
                <c:pt idx="7">
                  <c:v>1734877.86</c:v>
                </c:pt>
                <c:pt idx="8">
                  <c:v>1964361.29</c:v>
                </c:pt>
                <c:pt idx="9">
                  <c:v>353418.9</c:v>
                </c:pt>
                <c:pt idx="10">
                  <c:v>369418.25</c:v>
                </c:pt>
                <c:pt idx="11">
                  <c:v>377318.18</c:v>
                </c:pt>
                <c:pt idx="12">
                  <c:v>255471.16</c:v>
                </c:pt>
                <c:pt idx="13">
                  <c:v>234245.16</c:v>
                </c:pt>
                <c:pt idx="14">
                  <c:v>670668.48</c:v>
                </c:pt>
              </c:numCache>
            </c:numRef>
          </c:val>
        </c:ser>
        <c:ser>
          <c:idx val="15"/>
          <c:order val="15"/>
          <c:tx>
            <c:strRef>
              <c:f>label 15</c:f>
              <c:strCache>
                <c:ptCount val="1"/>
                <c:pt idx="0">
                  <c:v>Dział 853</c:v>
                </c:pt>
              </c:strCache>
            </c:strRef>
          </c:tx>
          <c:spPr>
            <a:solidFill>
              <a:srgbClr val="FFCD33"/>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15</c:f>
              <c:numCache>
                <c:formatCode>General</c:formatCode>
                <c:ptCount val="15"/>
                <c:pt idx="0">
                  <c:v>0</c:v>
                </c:pt>
                <c:pt idx="1">
                  <c:v>0</c:v>
                </c:pt>
                <c:pt idx="2">
                  <c:v>91008.88</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16"/>
          <c:order val="16"/>
          <c:tx>
            <c:strRef>
              <c:f>label 16</c:f>
              <c:strCache>
                <c:ptCount val="1"/>
                <c:pt idx="0">
                  <c:v>Dział 854</c:v>
                </c:pt>
              </c:strCache>
            </c:strRef>
          </c:tx>
          <c:spPr>
            <a:solidFill>
              <a:srgbClr val="698ED0"/>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16</c:f>
              <c:numCache>
                <c:formatCode>General</c:formatCode>
                <c:ptCount val="15"/>
                <c:pt idx="0">
                  <c:v>37953.910000000003</c:v>
                </c:pt>
                <c:pt idx="1">
                  <c:v>37606</c:v>
                </c:pt>
                <c:pt idx="2">
                  <c:v>49762.35</c:v>
                </c:pt>
                <c:pt idx="3">
                  <c:v>30680</c:v>
                </c:pt>
                <c:pt idx="4">
                  <c:v>25788</c:v>
                </c:pt>
                <c:pt idx="5">
                  <c:v>20308</c:v>
                </c:pt>
                <c:pt idx="6">
                  <c:v>74346</c:v>
                </c:pt>
                <c:pt idx="7">
                  <c:v>61554</c:v>
                </c:pt>
                <c:pt idx="8">
                  <c:v>51885.23</c:v>
                </c:pt>
                <c:pt idx="9">
                  <c:v>16843.28</c:v>
                </c:pt>
                <c:pt idx="10">
                  <c:v>15177.6</c:v>
                </c:pt>
                <c:pt idx="11">
                  <c:v>8532.43</c:v>
                </c:pt>
                <c:pt idx="12">
                  <c:v>64631.77</c:v>
                </c:pt>
                <c:pt idx="13">
                  <c:v>63014.22</c:v>
                </c:pt>
                <c:pt idx="14">
                  <c:v>52929.27</c:v>
                </c:pt>
              </c:numCache>
            </c:numRef>
          </c:val>
        </c:ser>
        <c:ser>
          <c:idx val="17"/>
          <c:order val="17"/>
          <c:tx>
            <c:strRef>
              <c:f>label 17</c:f>
              <c:strCache>
                <c:ptCount val="1"/>
                <c:pt idx="0">
                  <c:v>Dział 855</c:v>
                </c:pt>
              </c:strCache>
            </c:strRef>
          </c:tx>
          <c:spPr>
            <a:solidFill>
              <a:srgbClr val="8CC168"/>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17</c:f>
              <c:numCache>
                <c:formatCode>General</c:formatCode>
                <c:ptCount val="15"/>
                <c:pt idx="0">
                  <c:v>9728680.4299999997</c:v>
                </c:pt>
                <c:pt idx="1">
                  <c:v>9667570.3900000006</c:v>
                </c:pt>
                <c:pt idx="2">
                  <c:v>11837890.109999999</c:v>
                </c:pt>
                <c:pt idx="3">
                  <c:v>7017350.8799999999</c:v>
                </c:pt>
                <c:pt idx="4">
                  <c:v>7115979.5099999998</c:v>
                </c:pt>
                <c:pt idx="5">
                  <c:v>8241265.0499999998</c:v>
                </c:pt>
                <c:pt idx="6">
                  <c:v>9833929.1699999999</c:v>
                </c:pt>
                <c:pt idx="7">
                  <c:v>9883018.9199999999</c:v>
                </c:pt>
                <c:pt idx="8">
                  <c:v>11350553.74</c:v>
                </c:pt>
                <c:pt idx="9">
                  <c:v>5941955.3300000001</c:v>
                </c:pt>
                <c:pt idx="10">
                  <c:v>5850642.7300000004</c:v>
                </c:pt>
                <c:pt idx="11">
                  <c:v>8274221.25</c:v>
                </c:pt>
                <c:pt idx="12">
                  <c:v>5493980.7599999998</c:v>
                </c:pt>
                <c:pt idx="13">
                  <c:v>5346591.13</c:v>
                </c:pt>
                <c:pt idx="14">
                  <c:v>6351679.75</c:v>
                </c:pt>
              </c:numCache>
            </c:numRef>
          </c:val>
        </c:ser>
        <c:ser>
          <c:idx val="18"/>
          <c:order val="18"/>
          <c:tx>
            <c:strRef>
              <c:f>label 18</c:f>
              <c:strCache>
                <c:ptCount val="1"/>
                <c:pt idx="0">
                  <c:v>Dział 900</c:v>
                </c:pt>
              </c:strCache>
            </c:strRef>
          </c:tx>
          <c:spPr>
            <a:solidFill>
              <a:srgbClr val="327DC2"/>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18</c:f>
              <c:numCache>
                <c:formatCode>General</c:formatCode>
                <c:ptCount val="15"/>
                <c:pt idx="0">
                  <c:v>1234657.73</c:v>
                </c:pt>
                <c:pt idx="1">
                  <c:v>2159141.89</c:v>
                </c:pt>
                <c:pt idx="2">
                  <c:v>1288754.49</c:v>
                </c:pt>
                <c:pt idx="3">
                  <c:v>606555.12</c:v>
                </c:pt>
                <c:pt idx="4">
                  <c:v>746863.32</c:v>
                </c:pt>
                <c:pt idx="5">
                  <c:v>818729.54</c:v>
                </c:pt>
                <c:pt idx="6">
                  <c:v>1622190.06</c:v>
                </c:pt>
                <c:pt idx="7">
                  <c:v>7308191.5800000001</c:v>
                </c:pt>
                <c:pt idx="8">
                  <c:v>6445592.5800000001</c:v>
                </c:pt>
                <c:pt idx="9">
                  <c:v>843970.73</c:v>
                </c:pt>
                <c:pt idx="10">
                  <c:v>3001361.15</c:v>
                </c:pt>
                <c:pt idx="11">
                  <c:v>732811.23</c:v>
                </c:pt>
                <c:pt idx="12">
                  <c:v>540746.21</c:v>
                </c:pt>
                <c:pt idx="13">
                  <c:v>678164.35</c:v>
                </c:pt>
                <c:pt idx="14">
                  <c:v>2788612.55</c:v>
                </c:pt>
              </c:numCache>
            </c:numRef>
          </c:val>
        </c:ser>
        <c:ser>
          <c:idx val="19"/>
          <c:order val="19"/>
          <c:tx>
            <c:strRef>
              <c:f>label 19</c:f>
              <c:strCache>
                <c:ptCount val="1"/>
                <c:pt idx="0">
                  <c:v>Dział 921</c:v>
                </c:pt>
              </c:strCache>
            </c:strRef>
          </c:tx>
          <c:spPr>
            <a:solidFill>
              <a:srgbClr val="D26012"/>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19</c:f>
              <c:numCache>
                <c:formatCode>General</c:formatCode>
                <c:ptCount val="15"/>
                <c:pt idx="0">
                  <c:v>0</c:v>
                </c:pt>
                <c:pt idx="1">
                  <c:v>49650.17</c:v>
                </c:pt>
                <c:pt idx="2">
                  <c:v>0</c:v>
                </c:pt>
                <c:pt idx="3">
                  <c:v>130687.5</c:v>
                </c:pt>
                <c:pt idx="4">
                  <c:v>42205.7</c:v>
                </c:pt>
                <c:pt idx="5">
                  <c:v>182812.44</c:v>
                </c:pt>
                <c:pt idx="6">
                  <c:v>113.76</c:v>
                </c:pt>
                <c:pt idx="7">
                  <c:v>122026.81</c:v>
                </c:pt>
                <c:pt idx="8">
                  <c:v>18057.419999999998</c:v>
                </c:pt>
                <c:pt idx="9">
                  <c:v>0</c:v>
                </c:pt>
                <c:pt idx="10">
                  <c:v>30000</c:v>
                </c:pt>
                <c:pt idx="11">
                  <c:v>1822125.94</c:v>
                </c:pt>
                <c:pt idx="12">
                  <c:v>0</c:v>
                </c:pt>
                <c:pt idx="13">
                  <c:v>585831.97</c:v>
                </c:pt>
                <c:pt idx="14">
                  <c:v>756104.88</c:v>
                </c:pt>
              </c:numCache>
            </c:numRef>
          </c:val>
        </c:ser>
        <c:ser>
          <c:idx val="20"/>
          <c:order val="20"/>
          <c:tx>
            <c:strRef>
              <c:f>label 20</c:f>
              <c:strCache>
                <c:ptCount val="1"/>
                <c:pt idx="0">
                  <c:v>Dział 926</c:v>
                </c:pt>
              </c:strCache>
            </c:strRef>
          </c:tx>
          <c:spPr>
            <a:solidFill>
              <a:srgbClr val="848484"/>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20</c:f>
              <c:numCache>
                <c:formatCode>General</c:formatCode>
                <c:ptCount val="15"/>
                <c:pt idx="0">
                  <c:v>19500</c:v>
                </c:pt>
                <c:pt idx="1">
                  <c:v>13261.27</c:v>
                </c:pt>
                <c:pt idx="2">
                  <c:v>22207.65</c:v>
                </c:pt>
                <c:pt idx="3">
                  <c:v>0</c:v>
                </c:pt>
                <c:pt idx="4">
                  <c:v>0</c:v>
                </c:pt>
                <c:pt idx="5">
                  <c:v>0</c:v>
                </c:pt>
                <c:pt idx="6">
                  <c:v>0</c:v>
                </c:pt>
                <c:pt idx="7">
                  <c:v>0</c:v>
                </c:pt>
                <c:pt idx="8">
                  <c:v>0</c:v>
                </c:pt>
                <c:pt idx="9">
                  <c:v>0</c:v>
                </c:pt>
                <c:pt idx="10">
                  <c:v>0</c:v>
                </c:pt>
                <c:pt idx="11">
                  <c:v>52948</c:v>
                </c:pt>
                <c:pt idx="12">
                  <c:v>0</c:v>
                </c:pt>
                <c:pt idx="13">
                  <c:v>0</c:v>
                </c:pt>
                <c:pt idx="14">
                  <c:v>0</c:v>
                </c:pt>
              </c:numCache>
            </c:numRef>
          </c:val>
        </c:ser>
        <c:dLbls>
          <c:showLegendKey val="0"/>
          <c:showVal val="0"/>
          <c:showCatName val="0"/>
          <c:showSerName val="0"/>
          <c:showPercent val="0"/>
          <c:showBubbleSize val="0"/>
        </c:dLbls>
        <c:gapWidth val="150"/>
        <c:overlap val="100"/>
        <c:axId val="210036224"/>
        <c:axId val="209642048"/>
      </c:barChart>
      <c:catAx>
        <c:axId val="210036224"/>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700" b="0" strike="noStrike" spc="-1">
                <a:solidFill>
                  <a:srgbClr val="595959"/>
                </a:solidFill>
                <a:latin typeface="Calibri"/>
              </a:defRPr>
            </a:pPr>
            <a:endParaRPr lang="pl-PL"/>
          </a:p>
        </c:txPr>
        <c:crossAx val="209642048"/>
        <c:crosses val="autoZero"/>
        <c:auto val="1"/>
        <c:lblAlgn val="ctr"/>
        <c:lblOffset val="100"/>
        <c:noMultiLvlLbl val="1"/>
      </c:catAx>
      <c:valAx>
        <c:axId val="209642048"/>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700" b="0" strike="noStrike" spc="-1">
                <a:solidFill>
                  <a:srgbClr val="595959"/>
                </a:solidFill>
                <a:latin typeface="Calibri"/>
              </a:defRPr>
            </a:pPr>
            <a:endParaRPr lang="pl-PL"/>
          </a:p>
        </c:txPr>
        <c:crossAx val="210036224"/>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percentStacked"/>
        <c:varyColors val="0"/>
        <c:ser>
          <c:idx val="0"/>
          <c:order val="0"/>
          <c:tx>
            <c:strRef>
              <c:f>label 0</c:f>
              <c:strCache>
                <c:ptCount val="1"/>
                <c:pt idx="0">
                  <c:v>Dział 010</c:v>
                </c:pt>
              </c:strCache>
            </c:strRef>
          </c:tx>
          <c:spPr>
            <a:solidFill>
              <a:srgbClr val="5B9BD5"/>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0</c:f>
              <c:numCache>
                <c:formatCode>General</c:formatCode>
                <c:ptCount val="15"/>
                <c:pt idx="0">
                  <c:v>617601.99</c:v>
                </c:pt>
                <c:pt idx="1">
                  <c:v>598103.66</c:v>
                </c:pt>
                <c:pt idx="2">
                  <c:v>754178.04</c:v>
                </c:pt>
                <c:pt idx="3">
                  <c:v>631563.16</c:v>
                </c:pt>
                <c:pt idx="4">
                  <c:v>470888.53</c:v>
                </c:pt>
                <c:pt idx="5">
                  <c:v>760045</c:v>
                </c:pt>
                <c:pt idx="6">
                  <c:v>406080.37</c:v>
                </c:pt>
                <c:pt idx="7">
                  <c:v>3449736.34</c:v>
                </c:pt>
                <c:pt idx="8">
                  <c:v>477649.24</c:v>
                </c:pt>
                <c:pt idx="9">
                  <c:v>694964.51</c:v>
                </c:pt>
                <c:pt idx="10">
                  <c:v>2065515.77</c:v>
                </c:pt>
                <c:pt idx="11">
                  <c:v>533383.64</c:v>
                </c:pt>
                <c:pt idx="12">
                  <c:v>635458.56000000006</c:v>
                </c:pt>
                <c:pt idx="13">
                  <c:v>494274.8</c:v>
                </c:pt>
                <c:pt idx="14">
                  <c:v>810026.07</c:v>
                </c:pt>
              </c:numCache>
            </c:numRef>
          </c:val>
        </c:ser>
        <c:ser>
          <c:idx val="1"/>
          <c:order val="1"/>
          <c:tx>
            <c:strRef>
              <c:f>label 1</c:f>
              <c:strCache>
                <c:ptCount val="1"/>
                <c:pt idx="0">
                  <c:v>Dział 020</c:v>
                </c:pt>
              </c:strCache>
            </c:strRef>
          </c:tx>
          <c:spPr>
            <a:solidFill>
              <a:srgbClr val="ED7D31"/>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c:f>
              <c:numCache>
                <c:formatCode>General</c:formatCode>
                <c:ptCount val="15"/>
                <c:pt idx="0">
                  <c:v>0</c:v>
                </c:pt>
                <c:pt idx="1">
                  <c:v>0</c:v>
                </c:pt>
                <c:pt idx="2">
                  <c:v>0</c:v>
                </c:pt>
                <c:pt idx="3">
                  <c:v>0</c:v>
                </c:pt>
                <c:pt idx="4">
                  <c:v>0</c:v>
                </c:pt>
                <c:pt idx="5">
                  <c:v>0</c:v>
                </c:pt>
                <c:pt idx="6">
                  <c:v>0</c:v>
                </c:pt>
                <c:pt idx="7">
                  <c:v>0</c:v>
                </c:pt>
                <c:pt idx="8">
                  <c:v>0</c:v>
                </c:pt>
                <c:pt idx="9">
                  <c:v>985.03</c:v>
                </c:pt>
                <c:pt idx="10">
                  <c:v>989.52</c:v>
                </c:pt>
                <c:pt idx="11">
                  <c:v>999.76</c:v>
                </c:pt>
                <c:pt idx="12">
                  <c:v>0</c:v>
                </c:pt>
                <c:pt idx="13">
                  <c:v>0</c:v>
                </c:pt>
                <c:pt idx="14">
                  <c:v>0</c:v>
                </c:pt>
              </c:numCache>
            </c:numRef>
          </c:val>
        </c:ser>
        <c:ser>
          <c:idx val="2"/>
          <c:order val="2"/>
          <c:tx>
            <c:strRef>
              <c:f>label 2</c:f>
              <c:strCache>
                <c:ptCount val="1"/>
                <c:pt idx="0">
                  <c:v>Dział 400</c:v>
                </c:pt>
              </c:strCache>
            </c:strRef>
          </c:tx>
          <c:spPr>
            <a:solidFill>
              <a:srgbClr val="A5A5A5"/>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2</c:f>
              <c:numCache>
                <c:formatCode>General</c:formatCode>
                <c:ptCount val="15"/>
                <c:pt idx="0">
                  <c:v>374097.27</c:v>
                </c:pt>
                <c:pt idx="1">
                  <c:v>432488.48</c:v>
                </c:pt>
                <c:pt idx="2">
                  <c:v>422387.51</c:v>
                </c:pt>
                <c:pt idx="3">
                  <c:v>293978.44</c:v>
                </c:pt>
                <c:pt idx="4">
                  <c:v>331809.67</c:v>
                </c:pt>
                <c:pt idx="5">
                  <c:v>332289.90999999997</c:v>
                </c:pt>
                <c:pt idx="6">
                  <c:v>657266.46</c:v>
                </c:pt>
                <c:pt idx="7">
                  <c:v>687852.7</c:v>
                </c:pt>
                <c:pt idx="8">
                  <c:v>654385.91</c:v>
                </c:pt>
                <c:pt idx="9">
                  <c:v>0</c:v>
                </c:pt>
                <c:pt idx="10">
                  <c:v>0</c:v>
                </c:pt>
                <c:pt idx="11">
                  <c:v>0</c:v>
                </c:pt>
                <c:pt idx="12">
                  <c:v>0</c:v>
                </c:pt>
                <c:pt idx="13">
                  <c:v>0</c:v>
                </c:pt>
                <c:pt idx="14">
                  <c:v>0</c:v>
                </c:pt>
              </c:numCache>
            </c:numRef>
          </c:val>
        </c:ser>
        <c:ser>
          <c:idx val="3"/>
          <c:order val="3"/>
          <c:tx>
            <c:strRef>
              <c:f>label 3</c:f>
              <c:strCache>
                <c:ptCount val="1"/>
                <c:pt idx="0">
                  <c:v>Dział 500</c:v>
                </c:pt>
              </c:strCache>
            </c:strRef>
          </c:tx>
          <c:spPr>
            <a:solidFill>
              <a:srgbClr val="FFC000"/>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3</c:f>
              <c:numCache>
                <c:formatCode>General</c:formatCode>
                <c:ptCount val="15"/>
                <c:pt idx="0">
                  <c:v>0</c:v>
                </c:pt>
                <c:pt idx="1">
                  <c:v>0</c:v>
                </c:pt>
                <c:pt idx="2">
                  <c:v>0</c:v>
                </c:pt>
                <c:pt idx="3">
                  <c:v>2207.6799999999998</c:v>
                </c:pt>
                <c:pt idx="4">
                  <c:v>3420.43</c:v>
                </c:pt>
                <c:pt idx="5">
                  <c:v>2072.34</c:v>
                </c:pt>
                <c:pt idx="6">
                  <c:v>0</c:v>
                </c:pt>
                <c:pt idx="7">
                  <c:v>0</c:v>
                </c:pt>
                <c:pt idx="8">
                  <c:v>0</c:v>
                </c:pt>
                <c:pt idx="9">
                  <c:v>0</c:v>
                </c:pt>
                <c:pt idx="10">
                  <c:v>0</c:v>
                </c:pt>
                <c:pt idx="11">
                  <c:v>0</c:v>
                </c:pt>
                <c:pt idx="12">
                  <c:v>0</c:v>
                </c:pt>
                <c:pt idx="13">
                  <c:v>0</c:v>
                </c:pt>
                <c:pt idx="14">
                  <c:v>0</c:v>
                </c:pt>
              </c:numCache>
            </c:numRef>
          </c:val>
        </c:ser>
        <c:ser>
          <c:idx val="4"/>
          <c:order val="4"/>
          <c:tx>
            <c:strRef>
              <c:f>label 4</c:f>
              <c:strCache>
                <c:ptCount val="1"/>
                <c:pt idx="0">
                  <c:v>Dział 550</c:v>
                </c:pt>
              </c:strCache>
            </c:strRef>
          </c:tx>
          <c:spPr>
            <a:solidFill>
              <a:srgbClr val="4472C4"/>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4</c:f>
              <c:numCache>
                <c:formatCode>General</c:formatCode>
                <c:ptCount val="15"/>
                <c:pt idx="0">
                  <c:v>2678</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5"/>
          <c:order val="5"/>
          <c:tx>
            <c:strRef>
              <c:f>label 5</c:f>
              <c:strCache>
                <c:ptCount val="1"/>
                <c:pt idx="0">
                  <c:v>Dział 600</c:v>
                </c:pt>
              </c:strCache>
            </c:strRef>
          </c:tx>
          <c:spPr>
            <a:solidFill>
              <a:srgbClr val="70AD47"/>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5</c:f>
              <c:numCache>
                <c:formatCode>General</c:formatCode>
                <c:ptCount val="15"/>
                <c:pt idx="0">
                  <c:v>3266492.3</c:v>
                </c:pt>
                <c:pt idx="1">
                  <c:v>6142650.7699999996</c:v>
                </c:pt>
                <c:pt idx="2">
                  <c:v>4015429.35</c:v>
                </c:pt>
                <c:pt idx="3">
                  <c:v>749353.87</c:v>
                </c:pt>
                <c:pt idx="4">
                  <c:v>1085692.05</c:v>
                </c:pt>
                <c:pt idx="5">
                  <c:v>624555.64</c:v>
                </c:pt>
                <c:pt idx="6">
                  <c:v>2141503.42</c:v>
                </c:pt>
                <c:pt idx="7">
                  <c:v>2548651.5299999998</c:v>
                </c:pt>
                <c:pt idx="8">
                  <c:v>1934811.91</c:v>
                </c:pt>
                <c:pt idx="9">
                  <c:v>1159242.01</c:v>
                </c:pt>
                <c:pt idx="10">
                  <c:v>1872612.81</c:v>
                </c:pt>
                <c:pt idx="11">
                  <c:v>2430628.2799999998</c:v>
                </c:pt>
                <c:pt idx="12">
                  <c:v>1581883.86</c:v>
                </c:pt>
                <c:pt idx="13">
                  <c:v>3013442.76</c:v>
                </c:pt>
                <c:pt idx="14">
                  <c:v>3447134.51</c:v>
                </c:pt>
              </c:numCache>
            </c:numRef>
          </c:val>
        </c:ser>
        <c:ser>
          <c:idx val="6"/>
          <c:order val="6"/>
          <c:tx>
            <c:strRef>
              <c:f>label 6</c:f>
              <c:strCache>
                <c:ptCount val="1"/>
                <c:pt idx="0">
                  <c:v>Dział 630</c:v>
                </c:pt>
              </c:strCache>
            </c:strRef>
          </c:tx>
          <c:spPr>
            <a:solidFill>
              <a:srgbClr val="255E91"/>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6</c:f>
              <c:numCache>
                <c:formatCode>General</c:formatCode>
                <c:ptCount val="15"/>
                <c:pt idx="0">
                  <c:v>0</c:v>
                </c:pt>
                <c:pt idx="1">
                  <c:v>0</c:v>
                </c:pt>
                <c:pt idx="2">
                  <c:v>0</c:v>
                </c:pt>
                <c:pt idx="3">
                  <c:v>3506.89</c:v>
                </c:pt>
                <c:pt idx="4">
                  <c:v>5996.07</c:v>
                </c:pt>
                <c:pt idx="5">
                  <c:v>5987.12</c:v>
                </c:pt>
                <c:pt idx="6">
                  <c:v>0</c:v>
                </c:pt>
                <c:pt idx="7">
                  <c:v>0</c:v>
                </c:pt>
                <c:pt idx="8">
                  <c:v>0</c:v>
                </c:pt>
                <c:pt idx="9">
                  <c:v>59163</c:v>
                </c:pt>
                <c:pt idx="10">
                  <c:v>0</c:v>
                </c:pt>
                <c:pt idx="11">
                  <c:v>15873.05</c:v>
                </c:pt>
                <c:pt idx="12">
                  <c:v>356872.6</c:v>
                </c:pt>
                <c:pt idx="13">
                  <c:v>68513.27</c:v>
                </c:pt>
                <c:pt idx="14">
                  <c:v>195440.48</c:v>
                </c:pt>
              </c:numCache>
            </c:numRef>
          </c:val>
        </c:ser>
        <c:ser>
          <c:idx val="7"/>
          <c:order val="7"/>
          <c:tx>
            <c:strRef>
              <c:f>label 7</c:f>
              <c:strCache>
                <c:ptCount val="1"/>
                <c:pt idx="0">
                  <c:v>Dział 700</c:v>
                </c:pt>
              </c:strCache>
            </c:strRef>
          </c:tx>
          <c:spPr>
            <a:solidFill>
              <a:srgbClr val="9E480E"/>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7</c:f>
              <c:numCache>
                <c:formatCode>General</c:formatCode>
                <c:ptCount val="15"/>
                <c:pt idx="0">
                  <c:v>392079.27</c:v>
                </c:pt>
                <c:pt idx="1">
                  <c:v>99281.75</c:v>
                </c:pt>
                <c:pt idx="2">
                  <c:v>107440.18</c:v>
                </c:pt>
                <c:pt idx="3">
                  <c:v>109238.92</c:v>
                </c:pt>
                <c:pt idx="4">
                  <c:v>110181.53</c:v>
                </c:pt>
                <c:pt idx="5">
                  <c:v>143458.65</c:v>
                </c:pt>
                <c:pt idx="6">
                  <c:v>205690.43</c:v>
                </c:pt>
                <c:pt idx="7">
                  <c:v>231287.04000000001</c:v>
                </c:pt>
                <c:pt idx="8">
                  <c:v>618659.1</c:v>
                </c:pt>
                <c:pt idx="9">
                  <c:v>1629952.71</c:v>
                </c:pt>
                <c:pt idx="10">
                  <c:v>2255201.23</c:v>
                </c:pt>
                <c:pt idx="11">
                  <c:v>1092029.3600000001</c:v>
                </c:pt>
                <c:pt idx="12">
                  <c:v>881120.48</c:v>
                </c:pt>
                <c:pt idx="13">
                  <c:v>684529.37</c:v>
                </c:pt>
                <c:pt idx="14">
                  <c:v>612632.63</c:v>
                </c:pt>
              </c:numCache>
            </c:numRef>
          </c:val>
        </c:ser>
        <c:ser>
          <c:idx val="8"/>
          <c:order val="8"/>
          <c:tx>
            <c:strRef>
              <c:f>label 8</c:f>
              <c:strCache>
                <c:ptCount val="1"/>
                <c:pt idx="0">
                  <c:v>Dział 710</c:v>
                </c:pt>
              </c:strCache>
            </c:strRef>
          </c:tx>
          <c:spPr>
            <a:solidFill>
              <a:srgbClr val="636363"/>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8</c:f>
              <c:numCache>
                <c:formatCode>General</c:formatCode>
                <c:ptCount val="15"/>
                <c:pt idx="0">
                  <c:v>147066.63</c:v>
                </c:pt>
                <c:pt idx="1">
                  <c:v>17709.05</c:v>
                </c:pt>
                <c:pt idx="2">
                  <c:v>2011436.73</c:v>
                </c:pt>
                <c:pt idx="3">
                  <c:v>24941.29</c:v>
                </c:pt>
                <c:pt idx="4">
                  <c:v>88117.95</c:v>
                </c:pt>
                <c:pt idx="5">
                  <c:v>33678.800000000003</c:v>
                </c:pt>
                <c:pt idx="6">
                  <c:v>30059.599999999999</c:v>
                </c:pt>
                <c:pt idx="7">
                  <c:v>98319.85</c:v>
                </c:pt>
                <c:pt idx="8">
                  <c:v>33048.43</c:v>
                </c:pt>
                <c:pt idx="9">
                  <c:v>75182.98</c:v>
                </c:pt>
                <c:pt idx="10">
                  <c:v>78746.649999999994</c:v>
                </c:pt>
                <c:pt idx="11">
                  <c:v>64990.07</c:v>
                </c:pt>
                <c:pt idx="12">
                  <c:v>12916.72</c:v>
                </c:pt>
                <c:pt idx="13">
                  <c:v>32695.53</c:v>
                </c:pt>
                <c:pt idx="14">
                  <c:v>42530.37</c:v>
                </c:pt>
              </c:numCache>
            </c:numRef>
          </c:val>
        </c:ser>
        <c:ser>
          <c:idx val="9"/>
          <c:order val="9"/>
          <c:tx>
            <c:strRef>
              <c:f>label 9</c:f>
              <c:strCache>
                <c:ptCount val="1"/>
                <c:pt idx="0">
                  <c:v>Dział 720</c:v>
                </c:pt>
              </c:strCache>
            </c:strRef>
          </c:tx>
          <c:spPr>
            <a:solidFill>
              <a:srgbClr val="997300"/>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9</c:f>
              <c:numCache>
                <c:formatCode>General</c:formatCode>
                <c:ptCount val="15"/>
                <c:pt idx="0">
                  <c:v>73900</c:v>
                </c:pt>
                <c:pt idx="1">
                  <c:v>67313.990000000005</c:v>
                </c:pt>
                <c:pt idx="2">
                  <c:v>76785.960000000006</c:v>
                </c:pt>
                <c:pt idx="3">
                  <c:v>78941.399999999994</c:v>
                </c:pt>
                <c:pt idx="4">
                  <c:v>57211.93</c:v>
                </c:pt>
                <c:pt idx="5">
                  <c:v>107531.05</c:v>
                </c:pt>
                <c:pt idx="6">
                  <c:v>95589.4</c:v>
                </c:pt>
                <c:pt idx="7">
                  <c:v>60546.71</c:v>
                </c:pt>
                <c:pt idx="8">
                  <c:v>111785.77</c:v>
                </c:pt>
                <c:pt idx="9">
                  <c:v>86212.87</c:v>
                </c:pt>
                <c:pt idx="10">
                  <c:v>68339.539999999994</c:v>
                </c:pt>
                <c:pt idx="11">
                  <c:v>42871.360000000001</c:v>
                </c:pt>
                <c:pt idx="12">
                  <c:v>88876.53</c:v>
                </c:pt>
                <c:pt idx="13">
                  <c:v>51280.08</c:v>
                </c:pt>
                <c:pt idx="14">
                  <c:v>41180.080000000002</c:v>
                </c:pt>
              </c:numCache>
            </c:numRef>
          </c:val>
        </c:ser>
        <c:ser>
          <c:idx val="10"/>
          <c:order val="10"/>
          <c:tx>
            <c:strRef>
              <c:f>label 10</c:f>
              <c:strCache>
                <c:ptCount val="1"/>
                <c:pt idx="0">
                  <c:v>Dział 750</c:v>
                </c:pt>
              </c:strCache>
            </c:strRef>
          </c:tx>
          <c:spPr>
            <a:solidFill>
              <a:srgbClr val="264478"/>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10</c:f>
              <c:numCache>
                <c:formatCode>General</c:formatCode>
                <c:ptCount val="15"/>
                <c:pt idx="0">
                  <c:v>4170367.75</c:v>
                </c:pt>
                <c:pt idx="1">
                  <c:v>4898462.3899999997</c:v>
                </c:pt>
                <c:pt idx="2">
                  <c:v>4924680.58</c:v>
                </c:pt>
                <c:pt idx="3">
                  <c:v>2813994.89</c:v>
                </c:pt>
                <c:pt idx="4">
                  <c:v>2800931.23</c:v>
                </c:pt>
                <c:pt idx="5">
                  <c:v>2871405.66</c:v>
                </c:pt>
                <c:pt idx="6">
                  <c:v>3307658.47</c:v>
                </c:pt>
                <c:pt idx="7">
                  <c:v>5200885.41</c:v>
                </c:pt>
                <c:pt idx="8">
                  <c:v>5204516.79</c:v>
                </c:pt>
                <c:pt idx="9">
                  <c:v>4682395.37</c:v>
                </c:pt>
                <c:pt idx="10">
                  <c:v>4500730.08</c:v>
                </c:pt>
                <c:pt idx="11">
                  <c:v>5231429.97</c:v>
                </c:pt>
                <c:pt idx="12">
                  <c:v>1998042.04</c:v>
                </c:pt>
                <c:pt idx="13">
                  <c:v>2159563.36</c:v>
                </c:pt>
                <c:pt idx="14">
                  <c:v>2268565.4</c:v>
                </c:pt>
              </c:numCache>
            </c:numRef>
          </c:val>
        </c:ser>
        <c:ser>
          <c:idx val="11"/>
          <c:order val="11"/>
          <c:tx>
            <c:strRef>
              <c:f>label 11</c:f>
              <c:strCache>
                <c:ptCount val="1"/>
                <c:pt idx="0">
                  <c:v>Dział 751</c:v>
                </c:pt>
              </c:strCache>
            </c:strRef>
          </c:tx>
          <c:spPr>
            <a:solidFill>
              <a:srgbClr val="43682B"/>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11</c:f>
              <c:numCache>
                <c:formatCode>General</c:formatCode>
                <c:ptCount val="15"/>
                <c:pt idx="0">
                  <c:v>1920</c:v>
                </c:pt>
                <c:pt idx="1">
                  <c:v>161588</c:v>
                </c:pt>
                <c:pt idx="2">
                  <c:v>110003</c:v>
                </c:pt>
                <c:pt idx="3">
                  <c:v>1700</c:v>
                </c:pt>
                <c:pt idx="4">
                  <c:v>62435.21</c:v>
                </c:pt>
                <c:pt idx="5">
                  <c:v>55677</c:v>
                </c:pt>
                <c:pt idx="6">
                  <c:v>2251.38</c:v>
                </c:pt>
                <c:pt idx="7">
                  <c:v>95355.77</c:v>
                </c:pt>
                <c:pt idx="8">
                  <c:v>94726.54</c:v>
                </c:pt>
                <c:pt idx="9">
                  <c:v>1824</c:v>
                </c:pt>
                <c:pt idx="10">
                  <c:v>69350.600000000006</c:v>
                </c:pt>
                <c:pt idx="11">
                  <c:v>61057</c:v>
                </c:pt>
                <c:pt idx="12">
                  <c:v>1871.65</c:v>
                </c:pt>
                <c:pt idx="13">
                  <c:v>60561.41</c:v>
                </c:pt>
                <c:pt idx="14">
                  <c:v>49824.36</c:v>
                </c:pt>
              </c:numCache>
            </c:numRef>
          </c:val>
        </c:ser>
        <c:ser>
          <c:idx val="12"/>
          <c:order val="12"/>
          <c:tx>
            <c:strRef>
              <c:f>label 12</c:f>
              <c:strCache>
                <c:ptCount val="1"/>
                <c:pt idx="0">
                  <c:v>Dział 752</c:v>
                </c:pt>
              </c:strCache>
            </c:strRef>
          </c:tx>
          <c:spPr>
            <a:solidFill>
              <a:srgbClr val="7CAFDD"/>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12</c:f>
              <c:numCache>
                <c:formatCode>General</c:formatCode>
                <c:ptCount val="15"/>
                <c:pt idx="0">
                  <c:v>0</c:v>
                </c:pt>
                <c:pt idx="1">
                  <c:v>0</c:v>
                </c:pt>
                <c:pt idx="2">
                  <c:v>0</c:v>
                </c:pt>
                <c:pt idx="3">
                  <c:v>1188</c:v>
                </c:pt>
                <c:pt idx="4">
                  <c:v>1611.99</c:v>
                </c:pt>
                <c:pt idx="5">
                  <c:v>0</c:v>
                </c:pt>
                <c:pt idx="6">
                  <c:v>210</c:v>
                </c:pt>
                <c:pt idx="7">
                  <c:v>0</c:v>
                </c:pt>
                <c:pt idx="8">
                  <c:v>0</c:v>
                </c:pt>
                <c:pt idx="9">
                  <c:v>0</c:v>
                </c:pt>
                <c:pt idx="10">
                  <c:v>0</c:v>
                </c:pt>
                <c:pt idx="11">
                  <c:v>0</c:v>
                </c:pt>
                <c:pt idx="12">
                  <c:v>0</c:v>
                </c:pt>
                <c:pt idx="13">
                  <c:v>0</c:v>
                </c:pt>
                <c:pt idx="14">
                  <c:v>861.3</c:v>
                </c:pt>
              </c:numCache>
            </c:numRef>
          </c:val>
        </c:ser>
        <c:ser>
          <c:idx val="13"/>
          <c:order val="13"/>
          <c:tx>
            <c:strRef>
              <c:f>label 13</c:f>
              <c:strCache>
                <c:ptCount val="1"/>
                <c:pt idx="0">
                  <c:v>Dział 754</c:v>
                </c:pt>
              </c:strCache>
            </c:strRef>
          </c:tx>
          <c:spPr>
            <a:solidFill>
              <a:srgbClr val="F1975A"/>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13</c:f>
              <c:numCache>
                <c:formatCode>General</c:formatCode>
                <c:ptCount val="15"/>
                <c:pt idx="0">
                  <c:v>289568.71000000002</c:v>
                </c:pt>
                <c:pt idx="1">
                  <c:v>240739.66</c:v>
                </c:pt>
                <c:pt idx="2">
                  <c:v>651727.07999999996</c:v>
                </c:pt>
                <c:pt idx="3">
                  <c:v>993481</c:v>
                </c:pt>
                <c:pt idx="4">
                  <c:v>377912.58</c:v>
                </c:pt>
                <c:pt idx="5">
                  <c:v>490923.59</c:v>
                </c:pt>
                <c:pt idx="6">
                  <c:v>1187556.1100000001</c:v>
                </c:pt>
                <c:pt idx="7">
                  <c:v>382926.44</c:v>
                </c:pt>
                <c:pt idx="8">
                  <c:v>683028.66</c:v>
                </c:pt>
                <c:pt idx="9">
                  <c:v>1674501.79</c:v>
                </c:pt>
                <c:pt idx="10">
                  <c:v>860743.43</c:v>
                </c:pt>
                <c:pt idx="11">
                  <c:v>560828.76</c:v>
                </c:pt>
                <c:pt idx="12">
                  <c:v>91964.7</c:v>
                </c:pt>
                <c:pt idx="13">
                  <c:v>167275.88</c:v>
                </c:pt>
                <c:pt idx="14">
                  <c:v>92403.21</c:v>
                </c:pt>
              </c:numCache>
            </c:numRef>
          </c:val>
        </c:ser>
        <c:ser>
          <c:idx val="14"/>
          <c:order val="14"/>
          <c:tx>
            <c:strRef>
              <c:f>label 14</c:f>
              <c:strCache>
                <c:ptCount val="1"/>
                <c:pt idx="0">
                  <c:v>Dział 757</c:v>
                </c:pt>
              </c:strCache>
            </c:strRef>
          </c:tx>
          <c:spPr>
            <a:solidFill>
              <a:srgbClr val="B7B7B7"/>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14</c:f>
              <c:numCache>
                <c:formatCode>General</c:formatCode>
                <c:ptCount val="15"/>
                <c:pt idx="0">
                  <c:v>42936.28</c:v>
                </c:pt>
                <c:pt idx="1">
                  <c:v>46992.04</c:v>
                </c:pt>
                <c:pt idx="2">
                  <c:v>89221.08</c:v>
                </c:pt>
                <c:pt idx="3">
                  <c:v>204305.22</c:v>
                </c:pt>
                <c:pt idx="4">
                  <c:v>208762.98</c:v>
                </c:pt>
                <c:pt idx="5">
                  <c:v>181719.57</c:v>
                </c:pt>
                <c:pt idx="6">
                  <c:v>260468.69</c:v>
                </c:pt>
                <c:pt idx="7">
                  <c:v>369418.87</c:v>
                </c:pt>
                <c:pt idx="8">
                  <c:v>557723.77</c:v>
                </c:pt>
                <c:pt idx="9">
                  <c:v>197529.93</c:v>
                </c:pt>
                <c:pt idx="10">
                  <c:v>196750.55</c:v>
                </c:pt>
                <c:pt idx="11">
                  <c:v>200607.45</c:v>
                </c:pt>
                <c:pt idx="12">
                  <c:v>141876.4</c:v>
                </c:pt>
                <c:pt idx="13">
                  <c:v>151726.04</c:v>
                </c:pt>
                <c:pt idx="14">
                  <c:v>205860.13</c:v>
                </c:pt>
              </c:numCache>
            </c:numRef>
          </c:val>
        </c:ser>
        <c:ser>
          <c:idx val="15"/>
          <c:order val="15"/>
          <c:tx>
            <c:strRef>
              <c:f>label 15</c:f>
              <c:strCache>
                <c:ptCount val="1"/>
                <c:pt idx="0">
                  <c:v>Dział 758</c:v>
                </c:pt>
              </c:strCache>
            </c:strRef>
          </c:tx>
          <c:spPr>
            <a:solidFill>
              <a:srgbClr val="FFCD33"/>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15</c:f>
              <c:numCache>
                <c:formatCode>General</c:formatCode>
                <c:ptCount val="15"/>
                <c:pt idx="0">
                  <c:v>3021</c:v>
                </c:pt>
                <c:pt idx="1">
                  <c:v>3156.5</c:v>
                </c:pt>
                <c:pt idx="2">
                  <c:v>3199</c:v>
                </c:pt>
                <c:pt idx="3">
                  <c:v>2424.0100000000002</c:v>
                </c:pt>
                <c:pt idx="4">
                  <c:v>2851.26</c:v>
                </c:pt>
                <c:pt idx="5">
                  <c:v>2673.61</c:v>
                </c:pt>
                <c:pt idx="6">
                  <c:v>42475</c:v>
                </c:pt>
                <c:pt idx="7">
                  <c:v>16836.47</c:v>
                </c:pt>
                <c:pt idx="8">
                  <c:v>17088.13</c:v>
                </c:pt>
                <c:pt idx="9">
                  <c:v>2077944.49</c:v>
                </c:pt>
                <c:pt idx="10">
                  <c:v>1272472.82</c:v>
                </c:pt>
                <c:pt idx="11">
                  <c:v>2377815.2599999998</c:v>
                </c:pt>
                <c:pt idx="12">
                  <c:v>1505.28</c:v>
                </c:pt>
                <c:pt idx="13">
                  <c:v>2478.5700000000002</c:v>
                </c:pt>
                <c:pt idx="14">
                  <c:v>2083.91</c:v>
                </c:pt>
              </c:numCache>
            </c:numRef>
          </c:val>
        </c:ser>
        <c:ser>
          <c:idx val="16"/>
          <c:order val="16"/>
          <c:tx>
            <c:strRef>
              <c:f>label 16</c:f>
              <c:strCache>
                <c:ptCount val="1"/>
                <c:pt idx="0">
                  <c:v>Dział 801</c:v>
                </c:pt>
              </c:strCache>
            </c:strRef>
          </c:tx>
          <c:spPr>
            <a:solidFill>
              <a:srgbClr val="698ED0"/>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16</c:f>
              <c:numCache>
                <c:formatCode>General</c:formatCode>
                <c:ptCount val="15"/>
                <c:pt idx="0">
                  <c:v>11177518.359999999</c:v>
                </c:pt>
                <c:pt idx="1">
                  <c:v>19119196.460000001</c:v>
                </c:pt>
                <c:pt idx="2">
                  <c:v>20591478.719999999</c:v>
                </c:pt>
                <c:pt idx="3">
                  <c:v>7539041.6600000001</c:v>
                </c:pt>
                <c:pt idx="4">
                  <c:v>8190190.04</c:v>
                </c:pt>
                <c:pt idx="5">
                  <c:v>9251621.0299999993</c:v>
                </c:pt>
                <c:pt idx="6">
                  <c:v>11381347.52</c:v>
                </c:pt>
                <c:pt idx="7">
                  <c:v>11734270.279999999</c:v>
                </c:pt>
                <c:pt idx="8">
                  <c:v>13557194.039999999</c:v>
                </c:pt>
                <c:pt idx="9">
                  <c:v>14874416.68</c:v>
                </c:pt>
                <c:pt idx="10">
                  <c:v>15547506.99</c:v>
                </c:pt>
                <c:pt idx="11">
                  <c:v>16667920.18</c:v>
                </c:pt>
                <c:pt idx="12">
                  <c:v>5087296.71</c:v>
                </c:pt>
                <c:pt idx="13">
                  <c:v>7492550.54</c:v>
                </c:pt>
                <c:pt idx="14">
                  <c:v>6883206.9800000004</c:v>
                </c:pt>
              </c:numCache>
            </c:numRef>
          </c:val>
        </c:ser>
        <c:ser>
          <c:idx val="17"/>
          <c:order val="17"/>
          <c:tx>
            <c:strRef>
              <c:f>label 17</c:f>
              <c:strCache>
                <c:ptCount val="1"/>
                <c:pt idx="0">
                  <c:v>Dział 851</c:v>
                </c:pt>
              </c:strCache>
            </c:strRef>
          </c:tx>
          <c:spPr>
            <a:solidFill>
              <a:srgbClr val="8CC168"/>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17</c:f>
              <c:numCache>
                <c:formatCode>General</c:formatCode>
                <c:ptCount val="15"/>
                <c:pt idx="0">
                  <c:v>92870.97</c:v>
                </c:pt>
                <c:pt idx="1">
                  <c:v>118529.83</c:v>
                </c:pt>
                <c:pt idx="2">
                  <c:v>111077.38</c:v>
                </c:pt>
                <c:pt idx="3">
                  <c:v>87959.34</c:v>
                </c:pt>
                <c:pt idx="4">
                  <c:v>64038.27</c:v>
                </c:pt>
                <c:pt idx="5">
                  <c:v>73310.490000000005</c:v>
                </c:pt>
                <c:pt idx="6">
                  <c:v>84559.17</c:v>
                </c:pt>
                <c:pt idx="7">
                  <c:v>76836.98</c:v>
                </c:pt>
                <c:pt idx="8">
                  <c:v>249446.39999999999</c:v>
                </c:pt>
                <c:pt idx="9">
                  <c:v>234110.5</c:v>
                </c:pt>
                <c:pt idx="10">
                  <c:v>226382.54</c:v>
                </c:pt>
                <c:pt idx="11">
                  <c:v>235553.32</c:v>
                </c:pt>
                <c:pt idx="12">
                  <c:v>12358.87</c:v>
                </c:pt>
                <c:pt idx="13">
                  <c:v>14717.63</c:v>
                </c:pt>
                <c:pt idx="14">
                  <c:v>16648.23</c:v>
                </c:pt>
              </c:numCache>
            </c:numRef>
          </c:val>
        </c:ser>
        <c:ser>
          <c:idx val="18"/>
          <c:order val="18"/>
          <c:tx>
            <c:strRef>
              <c:f>label 18</c:f>
              <c:strCache>
                <c:ptCount val="1"/>
                <c:pt idx="0">
                  <c:v>Dział 852</c:v>
                </c:pt>
              </c:strCache>
            </c:strRef>
          </c:tx>
          <c:spPr>
            <a:solidFill>
              <a:srgbClr val="327DC2"/>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18</c:f>
              <c:numCache>
                <c:formatCode>General</c:formatCode>
                <c:ptCount val="15"/>
                <c:pt idx="0">
                  <c:v>1426038.29</c:v>
                </c:pt>
                <c:pt idx="1">
                  <c:v>1545428.51</c:v>
                </c:pt>
                <c:pt idx="2">
                  <c:v>1558325.65</c:v>
                </c:pt>
                <c:pt idx="3">
                  <c:v>1081021.1399999999</c:v>
                </c:pt>
                <c:pt idx="4">
                  <c:v>1139522.55</c:v>
                </c:pt>
                <c:pt idx="5">
                  <c:v>1179735.69</c:v>
                </c:pt>
                <c:pt idx="6">
                  <c:v>2224802.44</c:v>
                </c:pt>
                <c:pt idx="7">
                  <c:v>2547204.58</c:v>
                </c:pt>
                <c:pt idx="8">
                  <c:v>2859051.8</c:v>
                </c:pt>
                <c:pt idx="9">
                  <c:v>1013685</c:v>
                </c:pt>
                <c:pt idx="10">
                  <c:v>1174630.73</c:v>
                </c:pt>
                <c:pt idx="11">
                  <c:v>1257360.6000000001</c:v>
                </c:pt>
                <c:pt idx="12">
                  <c:v>742981.43</c:v>
                </c:pt>
                <c:pt idx="13">
                  <c:v>793531.84</c:v>
                </c:pt>
                <c:pt idx="14">
                  <c:v>1138099.8799999999</c:v>
                </c:pt>
              </c:numCache>
            </c:numRef>
          </c:val>
        </c:ser>
        <c:ser>
          <c:idx val="19"/>
          <c:order val="19"/>
          <c:tx>
            <c:strRef>
              <c:f>label 19</c:f>
              <c:strCache>
                <c:ptCount val="1"/>
                <c:pt idx="0">
                  <c:v>Dział 853</c:v>
                </c:pt>
              </c:strCache>
            </c:strRef>
          </c:tx>
          <c:spPr>
            <a:solidFill>
              <a:srgbClr val="D26012"/>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19</c:f>
              <c:numCache>
                <c:formatCode>General</c:formatCode>
                <c:ptCount val="15"/>
                <c:pt idx="0">
                  <c:v>0</c:v>
                </c:pt>
                <c:pt idx="1">
                  <c:v>0</c:v>
                </c:pt>
                <c:pt idx="2">
                  <c:v>100258.21</c:v>
                </c:pt>
                <c:pt idx="3">
                  <c:v>0</c:v>
                </c:pt>
                <c:pt idx="4">
                  <c:v>0</c:v>
                </c:pt>
                <c:pt idx="5">
                  <c:v>0</c:v>
                </c:pt>
                <c:pt idx="6">
                  <c:v>0</c:v>
                </c:pt>
                <c:pt idx="7">
                  <c:v>0</c:v>
                </c:pt>
                <c:pt idx="8">
                  <c:v>0</c:v>
                </c:pt>
                <c:pt idx="9">
                  <c:v>0</c:v>
                </c:pt>
                <c:pt idx="10">
                  <c:v>0</c:v>
                </c:pt>
                <c:pt idx="11">
                  <c:v>0</c:v>
                </c:pt>
                <c:pt idx="12">
                  <c:v>0</c:v>
                </c:pt>
                <c:pt idx="13">
                  <c:v>0</c:v>
                </c:pt>
                <c:pt idx="14">
                  <c:v>0</c:v>
                </c:pt>
              </c:numCache>
            </c:numRef>
          </c:val>
        </c:ser>
        <c:ser>
          <c:idx val="20"/>
          <c:order val="20"/>
          <c:tx>
            <c:strRef>
              <c:f>label 20</c:f>
              <c:strCache>
                <c:ptCount val="1"/>
                <c:pt idx="0">
                  <c:v>Dział 854</c:v>
                </c:pt>
              </c:strCache>
            </c:strRef>
          </c:tx>
          <c:spPr>
            <a:solidFill>
              <a:srgbClr val="848484"/>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20</c:f>
              <c:numCache>
                <c:formatCode>General</c:formatCode>
                <c:ptCount val="15"/>
                <c:pt idx="0">
                  <c:v>396155.93</c:v>
                </c:pt>
                <c:pt idx="1">
                  <c:v>545173.47</c:v>
                </c:pt>
                <c:pt idx="2">
                  <c:v>586414.65</c:v>
                </c:pt>
                <c:pt idx="3">
                  <c:v>123401.95</c:v>
                </c:pt>
                <c:pt idx="4">
                  <c:v>161549.45000000001</c:v>
                </c:pt>
                <c:pt idx="5">
                  <c:v>196306.01</c:v>
                </c:pt>
                <c:pt idx="6">
                  <c:v>105172.8</c:v>
                </c:pt>
                <c:pt idx="7">
                  <c:v>88227.49</c:v>
                </c:pt>
                <c:pt idx="8">
                  <c:v>77061.710000000006</c:v>
                </c:pt>
                <c:pt idx="9">
                  <c:v>300818</c:v>
                </c:pt>
                <c:pt idx="10">
                  <c:v>351108.66</c:v>
                </c:pt>
                <c:pt idx="11">
                  <c:v>370807.71</c:v>
                </c:pt>
                <c:pt idx="12">
                  <c:v>91582.85</c:v>
                </c:pt>
                <c:pt idx="13">
                  <c:v>82530.37</c:v>
                </c:pt>
                <c:pt idx="14">
                  <c:v>80912.12</c:v>
                </c:pt>
              </c:numCache>
            </c:numRef>
          </c:val>
        </c:ser>
        <c:ser>
          <c:idx val="21"/>
          <c:order val="21"/>
          <c:tx>
            <c:strRef>
              <c:f>label 21</c:f>
              <c:strCache>
                <c:ptCount val="1"/>
                <c:pt idx="0">
                  <c:v>Dział 855</c:v>
                </c:pt>
              </c:strCache>
            </c:strRef>
          </c:tx>
          <c:spPr>
            <a:solidFill>
              <a:srgbClr val="CC9A00"/>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21</c:f>
              <c:numCache>
                <c:formatCode>General</c:formatCode>
                <c:ptCount val="15"/>
                <c:pt idx="0">
                  <c:v>9768581.8699999992</c:v>
                </c:pt>
                <c:pt idx="1">
                  <c:v>9714157.9600000009</c:v>
                </c:pt>
                <c:pt idx="2">
                  <c:v>12009780.75</c:v>
                </c:pt>
                <c:pt idx="3">
                  <c:v>7048199.3799999999</c:v>
                </c:pt>
                <c:pt idx="4">
                  <c:v>7152964.4000000004</c:v>
                </c:pt>
                <c:pt idx="5">
                  <c:v>8274665.3899999997</c:v>
                </c:pt>
                <c:pt idx="6">
                  <c:v>9879859.3499999996</c:v>
                </c:pt>
                <c:pt idx="7">
                  <c:v>9940736.4900000002</c:v>
                </c:pt>
                <c:pt idx="8">
                  <c:v>11446019.49</c:v>
                </c:pt>
                <c:pt idx="9">
                  <c:v>6009975.9500000002</c:v>
                </c:pt>
                <c:pt idx="10">
                  <c:v>6016975.9299999997</c:v>
                </c:pt>
                <c:pt idx="11">
                  <c:v>9277875.9700000007</c:v>
                </c:pt>
                <c:pt idx="12">
                  <c:v>5505760.3600000003</c:v>
                </c:pt>
                <c:pt idx="13">
                  <c:v>5363481.25</c:v>
                </c:pt>
                <c:pt idx="14">
                  <c:v>6380756.7199999997</c:v>
                </c:pt>
              </c:numCache>
            </c:numRef>
          </c:val>
        </c:ser>
        <c:ser>
          <c:idx val="22"/>
          <c:order val="22"/>
          <c:tx>
            <c:strRef>
              <c:f>label 22</c:f>
              <c:strCache>
                <c:ptCount val="1"/>
                <c:pt idx="0">
                  <c:v>Dział 900</c:v>
                </c:pt>
              </c:strCache>
            </c:strRef>
          </c:tx>
          <c:spPr>
            <a:solidFill>
              <a:srgbClr val="335AA1"/>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22</c:f>
              <c:numCache>
                <c:formatCode>General</c:formatCode>
                <c:ptCount val="15"/>
                <c:pt idx="0">
                  <c:v>2883674.33</c:v>
                </c:pt>
                <c:pt idx="1">
                  <c:v>2129429</c:v>
                </c:pt>
                <c:pt idx="2">
                  <c:v>2376200.71</c:v>
                </c:pt>
                <c:pt idx="3">
                  <c:v>1583103.99</c:v>
                </c:pt>
                <c:pt idx="4">
                  <c:v>1724244.19</c:v>
                </c:pt>
                <c:pt idx="5">
                  <c:v>1811265</c:v>
                </c:pt>
                <c:pt idx="6">
                  <c:v>2475449.25</c:v>
                </c:pt>
                <c:pt idx="7">
                  <c:v>11048869.25</c:v>
                </c:pt>
                <c:pt idx="8">
                  <c:v>12681816.550000001</c:v>
                </c:pt>
                <c:pt idx="9">
                  <c:v>2624843.27</c:v>
                </c:pt>
                <c:pt idx="10">
                  <c:v>5772083.2300000004</c:v>
                </c:pt>
                <c:pt idx="11">
                  <c:v>3005300</c:v>
                </c:pt>
                <c:pt idx="12">
                  <c:v>823426.55</c:v>
                </c:pt>
                <c:pt idx="13">
                  <c:v>722073.01</c:v>
                </c:pt>
                <c:pt idx="14">
                  <c:v>3532731.66</c:v>
                </c:pt>
              </c:numCache>
            </c:numRef>
          </c:val>
        </c:ser>
        <c:ser>
          <c:idx val="23"/>
          <c:order val="23"/>
          <c:tx>
            <c:strRef>
              <c:f>label 23</c:f>
              <c:strCache>
                <c:ptCount val="1"/>
                <c:pt idx="0">
                  <c:v>Dział 921</c:v>
                </c:pt>
              </c:strCache>
            </c:strRef>
          </c:tx>
          <c:spPr>
            <a:solidFill>
              <a:srgbClr val="5A8A39"/>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23</c:f>
              <c:numCache>
                <c:formatCode>General</c:formatCode>
                <c:ptCount val="15"/>
                <c:pt idx="0">
                  <c:v>777674.29</c:v>
                </c:pt>
                <c:pt idx="1">
                  <c:v>689771.51</c:v>
                </c:pt>
                <c:pt idx="2">
                  <c:v>770169.09</c:v>
                </c:pt>
                <c:pt idx="3">
                  <c:v>779646.54</c:v>
                </c:pt>
                <c:pt idx="4">
                  <c:v>1338320.44</c:v>
                </c:pt>
                <c:pt idx="5">
                  <c:v>2196559.35</c:v>
                </c:pt>
                <c:pt idx="6">
                  <c:v>1125224.6200000001</c:v>
                </c:pt>
                <c:pt idx="7">
                  <c:v>1176218.95</c:v>
                </c:pt>
                <c:pt idx="8">
                  <c:v>1195630</c:v>
                </c:pt>
                <c:pt idx="9">
                  <c:v>1060250.57</c:v>
                </c:pt>
                <c:pt idx="10">
                  <c:v>1397973.85</c:v>
                </c:pt>
                <c:pt idx="11">
                  <c:v>1046430.37</c:v>
                </c:pt>
                <c:pt idx="12">
                  <c:v>398434.43</c:v>
                </c:pt>
                <c:pt idx="13">
                  <c:v>1360145.85</c:v>
                </c:pt>
                <c:pt idx="14">
                  <c:v>2574506.4</c:v>
                </c:pt>
              </c:numCache>
            </c:numRef>
          </c:val>
        </c:ser>
        <c:ser>
          <c:idx val="24"/>
          <c:order val="24"/>
          <c:tx>
            <c:strRef>
              <c:f>label 24</c:f>
              <c:strCache>
                <c:ptCount val="1"/>
                <c:pt idx="0">
                  <c:v>Dział 926</c:v>
                </c:pt>
              </c:strCache>
            </c:strRef>
          </c:tx>
          <c:spPr>
            <a:solidFill>
              <a:srgbClr val="9DC3E6"/>
            </a:solidFill>
            <a:ln>
              <a:noFill/>
            </a:ln>
          </c:spPr>
          <c:invertIfNegative val="0"/>
          <c:dLbls>
            <c:txPr>
              <a:bodyPr/>
              <a:lstStyle/>
              <a:p>
                <a:pPr>
                  <a:defRPr sz="700" b="0" strike="noStrike" spc="-1">
                    <a:solidFill>
                      <a:srgbClr val="000000"/>
                    </a:solidFill>
                    <a:latin typeface="Calibri"/>
                  </a:defRPr>
                </a:pPr>
                <a:endParaRPr lang="pl-PL"/>
              </a:p>
            </c:txPr>
            <c:dLblPos val="ctr"/>
            <c:showLegendKey val="0"/>
            <c:showVal val="0"/>
            <c:showCatName val="0"/>
            <c:showSerName val="0"/>
            <c:showPercent val="0"/>
            <c:showBubbleSize val="1"/>
            <c:separator>; </c:separator>
            <c:showLeaderLines val="0"/>
          </c:dLbls>
          <c:cat>
            <c:strRef>
              <c:f>categories</c:f>
              <c:strCache>
                <c:ptCount val="15"/>
              </c:strCache>
            </c:strRef>
          </c:cat>
          <c:val>
            <c:numRef>
              <c:f>24</c:f>
              <c:numCache>
                <c:formatCode>General</c:formatCode>
                <c:ptCount val="15"/>
                <c:pt idx="0">
                  <c:v>213514.98</c:v>
                </c:pt>
                <c:pt idx="1">
                  <c:v>195316.32</c:v>
                </c:pt>
                <c:pt idx="2">
                  <c:v>233847.47</c:v>
                </c:pt>
                <c:pt idx="3">
                  <c:v>72622.710000000006</c:v>
                </c:pt>
                <c:pt idx="4">
                  <c:v>80231.839999999997</c:v>
                </c:pt>
                <c:pt idx="5">
                  <c:v>74159.710000000006</c:v>
                </c:pt>
                <c:pt idx="6">
                  <c:v>202984.3</c:v>
                </c:pt>
                <c:pt idx="7">
                  <c:v>168190.07</c:v>
                </c:pt>
                <c:pt idx="8">
                  <c:v>189854.21</c:v>
                </c:pt>
                <c:pt idx="9">
                  <c:v>222709.5</c:v>
                </c:pt>
                <c:pt idx="10">
                  <c:v>363140.71</c:v>
                </c:pt>
                <c:pt idx="11">
                  <c:v>567736.92000000004</c:v>
                </c:pt>
                <c:pt idx="12">
                  <c:v>31731.3</c:v>
                </c:pt>
                <c:pt idx="13">
                  <c:v>35195.75</c:v>
                </c:pt>
                <c:pt idx="14">
                  <c:v>42650.96</c:v>
                </c:pt>
              </c:numCache>
            </c:numRef>
          </c:val>
        </c:ser>
        <c:dLbls>
          <c:showLegendKey val="0"/>
          <c:showVal val="0"/>
          <c:showCatName val="0"/>
          <c:showSerName val="0"/>
          <c:showPercent val="0"/>
          <c:showBubbleSize val="0"/>
        </c:dLbls>
        <c:gapWidth val="150"/>
        <c:overlap val="100"/>
        <c:axId val="210037248"/>
        <c:axId val="209643776"/>
      </c:barChart>
      <c:catAx>
        <c:axId val="21003724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700" b="0" strike="noStrike" spc="-1">
                <a:solidFill>
                  <a:srgbClr val="595959"/>
                </a:solidFill>
                <a:latin typeface="Calibri"/>
              </a:defRPr>
            </a:pPr>
            <a:endParaRPr lang="pl-PL"/>
          </a:p>
        </c:txPr>
        <c:crossAx val="209643776"/>
        <c:crosses val="autoZero"/>
        <c:auto val="1"/>
        <c:lblAlgn val="ctr"/>
        <c:lblOffset val="100"/>
        <c:noMultiLvlLbl val="1"/>
      </c:catAx>
      <c:valAx>
        <c:axId val="20964377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700" b="0" strike="noStrike" spc="-1">
                <a:solidFill>
                  <a:srgbClr val="595959"/>
                </a:solidFill>
                <a:latin typeface="Calibri"/>
              </a:defRPr>
            </a:pPr>
            <a:endParaRPr lang="pl-PL"/>
          </a:p>
        </c:txPr>
        <c:crossAx val="210037248"/>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title>
      <c:tx>
        <c:rich>
          <a:bodyPr rot="0"/>
          <a:lstStyle/>
          <a:p>
            <a:pPr>
              <a:defRPr sz="1400" b="0" strike="noStrike" spc="-1">
                <a:solidFill>
                  <a:srgbClr val="595959"/>
                </a:solidFill>
                <a:latin typeface="Calibri"/>
              </a:defRPr>
            </a:pPr>
            <a:r>
              <a:rPr sz="1400" b="0" strike="noStrike" spc="-1">
                <a:solidFill>
                  <a:srgbClr val="595959"/>
                </a:solidFill>
                <a:latin typeface="Calibri"/>
              </a:rPr>
              <a:t>Środki z Unii Europejskiej pozyskane przez gminy obszaru Zielone Zagłębie w perspektywie finansowej 2014-2020</a:t>
            </a:r>
          </a:p>
        </c:rich>
      </c:tx>
      <c:overlay val="0"/>
      <c:spPr>
        <a:noFill/>
        <a:ln>
          <a:noFill/>
        </a:ln>
      </c:spPr>
    </c:title>
    <c:autoTitleDeleted val="0"/>
    <c:plotArea>
      <c:layout/>
      <c:pieChart>
        <c:varyColors val="1"/>
        <c:ser>
          <c:idx val="0"/>
          <c:order val="0"/>
          <c:tx>
            <c:strRef>
              <c:f>label 0</c:f>
              <c:strCache>
                <c:ptCount val="1"/>
                <c:pt idx="0">
                  <c:v>Seria bez nazwy 1</c:v>
                </c:pt>
              </c:strCache>
            </c:strRef>
          </c:tx>
          <c:spPr>
            <a:solidFill>
              <a:srgbClr val="5B9BD5"/>
            </a:solidFill>
            <a:ln>
              <a:noFill/>
            </a:ln>
          </c:spPr>
          <c:dPt>
            <c:idx val="0"/>
            <c:bubble3D val="0"/>
            <c:spPr>
              <a:solidFill>
                <a:srgbClr val="5B9BD5"/>
              </a:solidFill>
              <a:ln w="19080">
                <a:solidFill>
                  <a:srgbClr val="FFFFFF"/>
                </a:solidFill>
                <a:round/>
              </a:ln>
            </c:spPr>
          </c:dPt>
          <c:dPt>
            <c:idx val="1"/>
            <c:bubble3D val="0"/>
            <c:spPr>
              <a:solidFill>
                <a:srgbClr val="ED7D31"/>
              </a:solidFill>
              <a:ln w="19080">
                <a:solidFill>
                  <a:srgbClr val="FFFFFF"/>
                </a:solidFill>
                <a:round/>
              </a:ln>
            </c:spPr>
          </c:dPt>
          <c:dPt>
            <c:idx val="2"/>
            <c:bubble3D val="0"/>
            <c:spPr>
              <a:solidFill>
                <a:srgbClr val="A5A5A5"/>
              </a:solidFill>
              <a:ln w="19080">
                <a:solidFill>
                  <a:srgbClr val="FFFFFF"/>
                </a:solidFill>
                <a:round/>
              </a:ln>
            </c:spPr>
          </c:dPt>
          <c:dPt>
            <c:idx val="3"/>
            <c:bubble3D val="0"/>
            <c:spPr>
              <a:solidFill>
                <a:srgbClr val="FFC000"/>
              </a:solidFill>
              <a:ln w="19080">
                <a:solidFill>
                  <a:srgbClr val="FFFFFF"/>
                </a:solidFill>
                <a:round/>
              </a:ln>
            </c:spPr>
          </c:dPt>
          <c:dPt>
            <c:idx val="4"/>
            <c:bubble3D val="0"/>
            <c:spPr>
              <a:solidFill>
                <a:srgbClr val="4472C4"/>
              </a:solidFill>
              <a:ln w="19080">
                <a:solidFill>
                  <a:srgbClr val="FFFFFF"/>
                </a:solidFill>
                <a:round/>
              </a:ln>
            </c:spPr>
          </c:dPt>
          <c:dLbls>
            <c:txPr>
              <a:bodyPr/>
              <a:lstStyle/>
              <a:p>
                <a:pPr>
                  <a:defRPr sz="900" b="0" strike="noStrike" spc="-1">
                    <a:solidFill>
                      <a:srgbClr val="404040"/>
                    </a:solidFill>
                    <a:latin typeface="Calibri"/>
                  </a:defRPr>
                </a:pPr>
                <a:endParaRPr lang="pl-PL"/>
              </a:p>
            </c:txPr>
            <c:dLblPos val="outEnd"/>
            <c:showLegendKey val="0"/>
            <c:showVal val="1"/>
            <c:showCatName val="1"/>
            <c:showSerName val="0"/>
            <c:showPercent val="0"/>
            <c:showBubbleSize val="1"/>
            <c:separator>; </c:separator>
            <c:showLeaderLines val="0"/>
          </c:dLbls>
          <c:cat>
            <c:strRef>
              <c:f>categories</c:f>
              <c:strCache>
                <c:ptCount val="5"/>
                <c:pt idx="0">
                  <c:v>Cyców</c:v>
                </c:pt>
                <c:pt idx="1">
                  <c:v>Ludwin</c:v>
                </c:pt>
                <c:pt idx="2">
                  <c:v>Puchaczów</c:v>
                </c:pt>
                <c:pt idx="3">
                  <c:v>Milejów</c:v>
                </c:pt>
                <c:pt idx="4">
                  <c:v>Urszulin</c:v>
                </c:pt>
              </c:strCache>
            </c:strRef>
          </c:cat>
          <c:val>
            <c:numRef>
              <c:f>0</c:f>
              <c:numCache>
                <c:formatCode>General</c:formatCode>
                <c:ptCount val="5"/>
                <c:pt idx="0">
                  <c:v>10633457.1</c:v>
                </c:pt>
                <c:pt idx="1">
                  <c:v>4505683.2699999996</c:v>
                </c:pt>
                <c:pt idx="2">
                  <c:v>7052207.3200000003</c:v>
                </c:pt>
                <c:pt idx="3">
                  <c:v>34605586.719999999</c:v>
                </c:pt>
                <c:pt idx="4">
                  <c:v>24231839.98</c:v>
                </c:pt>
              </c:numCache>
            </c:numRef>
          </c:val>
        </c:ser>
        <c:dLbls>
          <c:showLegendKey val="0"/>
          <c:showVal val="0"/>
          <c:showCatName val="0"/>
          <c:showSerName val="0"/>
          <c:showPercent val="0"/>
          <c:showBubbleSize val="0"/>
          <c:showLeaderLines val="0"/>
        </c:dLbls>
        <c:firstSliceAng val="0"/>
      </c:pieChart>
      <c:spPr>
        <a:noFill/>
        <a:ln>
          <a:noFill/>
        </a:ln>
      </c:spPr>
    </c:plotArea>
    <c:plotVisOnly val="1"/>
    <c:dispBlanksAs val="gap"/>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lineChart>
        <c:grouping val="standard"/>
        <c:varyColors val="0"/>
        <c:ser>
          <c:idx val="0"/>
          <c:order val="0"/>
          <c:tx>
            <c:strRef>
              <c:f>label 0</c:f>
              <c:strCache>
                <c:ptCount val="1"/>
                <c:pt idx="0">
                  <c:v>ŚREDNIA</c:v>
                </c:pt>
              </c:strCache>
            </c:strRef>
          </c:tx>
          <c:spPr>
            <a:ln w="28440">
              <a:solidFill>
                <a:srgbClr val="5B9BD5"/>
              </a:solidFill>
              <a:round/>
            </a:ln>
          </c:spPr>
          <c:marker>
            <c:symbol val="circle"/>
            <c:size val="5"/>
            <c:spPr>
              <a:solidFill>
                <a:srgbClr val="5B9BD5"/>
              </a:solidFill>
            </c:spPr>
          </c:marker>
          <c:dLbls>
            <c:txPr>
              <a:bodyPr/>
              <a:lstStyle/>
              <a:p>
                <a:pPr>
                  <a:defRPr sz="900" b="0" strike="noStrike" spc="-1">
                    <a:solidFill>
                      <a:srgbClr val="404040"/>
                    </a:solidFill>
                    <a:latin typeface="Calibri"/>
                  </a:defRPr>
                </a:pPr>
                <a:endParaRPr lang="pl-PL"/>
              </a:p>
            </c:txPr>
            <c:dLblPos val="t"/>
            <c:showLegendKey val="0"/>
            <c:showVal val="1"/>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52.4</c:v>
                </c:pt>
                <c:pt idx="1">
                  <c:v>52.6</c:v>
                </c:pt>
                <c:pt idx="2">
                  <c:v>52.6</c:v>
                </c:pt>
                <c:pt idx="3">
                  <c:v>52.8</c:v>
                </c:pt>
                <c:pt idx="4">
                  <c:v>52.6</c:v>
                </c:pt>
              </c:numCache>
            </c:numRef>
          </c:val>
          <c:smooth val="0"/>
        </c:ser>
        <c:dLbls>
          <c:showLegendKey val="0"/>
          <c:showVal val="0"/>
          <c:showCatName val="0"/>
          <c:showSerName val="0"/>
          <c:showPercent val="0"/>
          <c:showBubbleSize val="0"/>
        </c:dLbls>
        <c:hiLowLines>
          <c:spPr>
            <a:ln>
              <a:noFill/>
            </a:ln>
          </c:spPr>
        </c:hiLowLines>
        <c:marker val="1"/>
        <c:smooth val="0"/>
        <c:axId val="204568576"/>
        <c:axId val="171547968"/>
      </c:lineChart>
      <c:catAx>
        <c:axId val="204568576"/>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171547968"/>
        <c:crosses val="autoZero"/>
        <c:auto val="1"/>
        <c:lblAlgn val="ctr"/>
        <c:lblOffset val="100"/>
        <c:noMultiLvlLbl val="1"/>
      </c:catAx>
      <c:valAx>
        <c:axId val="171547968"/>
        <c:scaling>
          <c:orientation val="minMax"/>
        </c:scaling>
        <c:delete val="1"/>
        <c:axPos val="l"/>
        <c:numFmt formatCode="##,#0\.0" sourceLinked="0"/>
        <c:majorTickMark val="none"/>
        <c:minorTickMark val="none"/>
        <c:tickLblPos val="nextTo"/>
        <c:crossAx val="204568576"/>
        <c:crosses val="autoZero"/>
        <c:crossBetween val="midCat"/>
      </c:valAx>
      <c:spPr>
        <a:noFill/>
        <a:ln>
          <a:noFill/>
        </a:ln>
      </c:spPr>
    </c:plotArea>
    <c:plotVisOnly val="1"/>
    <c:dispBlanksAs val="gap"/>
    <c:showDLblsOverMax val="1"/>
  </c:chart>
  <c:spPr>
    <a:noFill/>
    <a:ln w="9360">
      <a:noFill/>
    </a:ln>
  </c:spPr>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urodzenia żywe na 1000 ludności</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0</c:f>
              <c:numCache>
                <c:formatCode>General</c:formatCode>
                <c:ptCount val="5"/>
                <c:pt idx="0">
                  <c:v>10.188000000000001</c:v>
                </c:pt>
                <c:pt idx="1">
                  <c:v>10.912000000000001</c:v>
                </c:pt>
                <c:pt idx="2">
                  <c:v>11.996</c:v>
                </c:pt>
                <c:pt idx="3">
                  <c:v>11.254</c:v>
                </c:pt>
                <c:pt idx="4">
                  <c:v>11.076000000000001</c:v>
                </c:pt>
              </c:numCache>
            </c:numRef>
          </c:val>
        </c:ser>
        <c:ser>
          <c:idx val="1"/>
          <c:order val="1"/>
          <c:tx>
            <c:strRef>
              <c:f>label 1</c:f>
              <c:strCache>
                <c:ptCount val="1"/>
                <c:pt idx="0">
                  <c:v>zgony na 1000 ludności</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1</c:f>
              <c:numCache>
                <c:formatCode>General</c:formatCode>
                <c:ptCount val="5"/>
                <c:pt idx="0">
                  <c:v>9.9600000000000009</c:v>
                </c:pt>
                <c:pt idx="1">
                  <c:v>9.6479999999999997</c:v>
                </c:pt>
                <c:pt idx="2">
                  <c:v>11.026</c:v>
                </c:pt>
                <c:pt idx="3">
                  <c:v>11.151999999999999</c:v>
                </c:pt>
                <c:pt idx="4">
                  <c:v>10.122</c:v>
                </c:pt>
              </c:numCache>
            </c:numRef>
          </c:val>
        </c:ser>
        <c:ser>
          <c:idx val="2"/>
          <c:order val="2"/>
          <c:tx>
            <c:strRef>
              <c:f>label 2</c:f>
              <c:strCache>
                <c:ptCount val="1"/>
                <c:pt idx="0">
                  <c:v>przyrost naturalny na 1000 ludności</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2015</c:v>
                </c:pt>
                <c:pt idx="1">
                  <c:v>2016</c:v>
                </c:pt>
                <c:pt idx="2">
                  <c:v>2017</c:v>
                </c:pt>
                <c:pt idx="3">
                  <c:v>2018</c:v>
                </c:pt>
                <c:pt idx="4">
                  <c:v>2019</c:v>
                </c:pt>
              </c:strCache>
            </c:strRef>
          </c:cat>
          <c:val>
            <c:numRef>
              <c:f>2</c:f>
              <c:numCache>
                <c:formatCode>General</c:formatCode>
                <c:ptCount val="5"/>
                <c:pt idx="0">
                  <c:v>0.22800000000000001</c:v>
                </c:pt>
                <c:pt idx="1">
                  <c:v>1.264</c:v>
                </c:pt>
                <c:pt idx="2">
                  <c:v>0.97199999999999998</c:v>
                </c:pt>
                <c:pt idx="3">
                  <c:v>0.104</c:v>
                </c:pt>
                <c:pt idx="4">
                  <c:v>0.95399999999999996</c:v>
                </c:pt>
              </c:numCache>
            </c:numRef>
          </c:val>
        </c:ser>
        <c:dLbls>
          <c:showLegendKey val="0"/>
          <c:showVal val="0"/>
          <c:showCatName val="0"/>
          <c:showSerName val="0"/>
          <c:showPercent val="0"/>
          <c:showBubbleSize val="0"/>
        </c:dLbls>
        <c:gapWidth val="150"/>
        <c:axId val="147468288"/>
        <c:axId val="176874048"/>
      </c:barChart>
      <c:catAx>
        <c:axId val="147468288"/>
        <c:scaling>
          <c:orientation val="minMax"/>
        </c:scaling>
        <c:delete val="0"/>
        <c:axPos val="b"/>
        <c:numFmt formatCode="[$-415]d\/mm\/\Y\Y\Y\Y"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l-PL"/>
          </a:p>
        </c:txPr>
        <c:crossAx val="176874048"/>
        <c:crosses val="autoZero"/>
        <c:auto val="1"/>
        <c:lblAlgn val="ctr"/>
        <c:lblOffset val="100"/>
        <c:noMultiLvlLbl val="1"/>
      </c:catAx>
      <c:valAx>
        <c:axId val="176874048"/>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147468288"/>
        <c:crosses val="autoZero"/>
        <c:crossBetween val="between"/>
        <c:majorUnit val="3"/>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roundedCorners val="0"/>
  <c:style val="2"/>
  <c:chart>
    <c:autoTitleDeleted val="1"/>
    <c:plotArea>
      <c:layout/>
      <c:barChart>
        <c:barDir val="col"/>
        <c:grouping val="clustered"/>
        <c:varyColors val="0"/>
        <c:ser>
          <c:idx val="0"/>
          <c:order val="0"/>
          <c:tx>
            <c:strRef>
              <c:f>label 0</c:f>
              <c:strCache>
                <c:ptCount val="1"/>
                <c:pt idx="0">
                  <c:v>2015</c:v>
                </c:pt>
              </c:strCache>
            </c:strRef>
          </c:tx>
          <c:spPr>
            <a:solidFill>
              <a:srgbClr val="5B9BD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0</c:f>
              <c:numCache>
                <c:formatCode>General</c:formatCode>
                <c:ptCount val="5"/>
                <c:pt idx="0">
                  <c:v>1.01</c:v>
                </c:pt>
                <c:pt idx="1">
                  <c:v>1.1100000000000001</c:v>
                </c:pt>
                <c:pt idx="2">
                  <c:v>-0.97</c:v>
                </c:pt>
                <c:pt idx="3">
                  <c:v>1.45</c:v>
                </c:pt>
                <c:pt idx="4">
                  <c:v>-1.46</c:v>
                </c:pt>
              </c:numCache>
            </c:numRef>
          </c:val>
        </c:ser>
        <c:ser>
          <c:idx val="1"/>
          <c:order val="1"/>
          <c:tx>
            <c:strRef>
              <c:f>label 1</c:f>
              <c:strCache>
                <c:ptCount val="1"/>
                <c:pt idx="0">
                  <c:v>2016</c:v>
                </c:pt>
              </c:strCache>
            </c:strRef>
          </c:tx>
          <c:spPr>
            <a:solidFill>
              <a:srgbClr val="ED7D31"/>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1</c:f>
              <c:numCache>
                <c:formatCode>General</c:formatCode>
                <c:ptCount val="5"/>
                <c:pt idx="0">
                  <c:v>0.5</c:v>
                </c:pt>
                <c:pt idx="1">
                  <c:v>5.99</c:v>
                </c:pt>
                <c:pt idx="2">
                  <c:v>-1.62</c:v>
                </c:pt>
                <c:pt idx="3">
                  <c:v>1.45</c:v>
                </c:pt>
                <c:pt idx="4">
                  <c:v>0</c:v>
                </c:pt>
              </c:numCache>
            </c:numRef>
          </c:val>
        </c:ser>
        <c:ser>
          <c:idx val="2"/>
          <c:order val="2"/>
          <c:tx>
            <c:strRef>
              <c:f>label 2</c:f>
              <c:strCache>
                <c:ptCount val="1"/>
                <c:pt idx="0">
                  <c:v>2017</c:v>
                </c:pt>
              </c:strCache>
            </c:strRef>
          </c:tx>
          <c:spPr>
            <a:solidFill>
              <a:srgbClr val="A5A5A5"/>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2</c:f>
              <c:numCache>
                <c:formatCode>General</c:formatCode>
                <c:ptCount val="5"/>
                <c:pt idx="0">
                  <c:v>1.01</c:v>
                </c:pt>
                <c:pt idx="1">
                  <c:v>4.8899999999999997</c:v>
                </c:pt>
                <c:pt idx="2">
                  <c:v>-1.63</c:v>
                </c:pt>
                <c:pt idx="3">
                  <c:v>1.79</c:v>
                </c:pt>
                <c:pt idx="4">
                  <c:v>-1.2</c:v>
                </c:pt>
              </c:numCache>
            </c:numRef>
          </c:val>
        </c:ser>
        <c:ser>
          <c:idx val="3"/>
          <c:order val="3"/>
          <c:tx>
            <c:strRef>
              <c:f>label 3</c:f>
              <c:strCache>
                <c:ptCount val="1"/>
                <c:pt idx="0">
                  <c:v>2018</c:v>
                </c:pt>
              </c:strCache>
            </c:strRef>
          </c:tx>
          <c:spPr>
            <a:solidFill>
              <a:srgbClr val="FFC000"/>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3</c:f>
              <c:numCache>
                <c:formatCode>General</c:formatCode>
                <c:ptCount val="5"/>
                <c:pt idx="0">
                  <c:v>2.4</c:v>
                </c:pt>
                <c:pt idx="1">
                  <c:v>0.71</c:v>
                </c:pt>
                <c:pt idx="2">
                  <c:v>-6.35</c:v>
                </c:pt>
                <c:pt idx="3">
                  <c:v>4.97</c:v>
                </c:pt>
                <c:pt idx="4">
                  <c:v>-1.21</c:v>
                </c:pt>
              </c:numCache>
            </c:numRef>
          </c:val>
        </c:ser>
        <c:ser>
          <c:idx val="4"/>
          <c:order val="4"/>
          <c:tx>
            <c:strRef>
              <c:f>label 4</c:f>
              <c:strCache>
                <c:ptCount val="1"/>
                <c:pt idx="0">
                  <c:v>2019</c:v>
                </c:pt>
              </c:strCache>
            </c:strRef>
          </c:tx>
          <c:spPr>
            <a:solidFill>
              <a:srgbClr val="4472C4"/>
            </a:solidFill>
            <a:ln>
              <a:noFill/>
            </a:ln>
          </c:spPr>
          <c:invertIfNegative val="0"/>
          <c:dLbls>
            <c:txPr>
              <a:bodyPr/>
              <a:lstStyle/>
              <a:p>
                <a:pPr>
                  <a:defRPr sz="1000" b="0" strike="noStrike" spc="-1">
                    <a:solidFill>
                      <a:srgbClr val="000000"/>
                    </a:solidFill>
                    <a:latin typeface="Calibri"/>
                  </a:defRPr>
                </a:pPr>
                <a:endParaRPr lang="pl-PL"/>
              </a:p>
            </c:txPr>
            <c:dLblPos val="outEnd"/>
            <c:showLegendKey val="0"/>
            <c:showVal val="0"/>
            <c:showCatName val="0"/>
            <c:showSerName val="0"/>
            <c:showPercent val="0"/>
            <c:showBubbleSize val="1"/>
            <c:separator>; </c:separator>
            <c:showLeaderLines val="0"/>
          </c:dLbls>
          <c:cat>
            <c:strRef>
              <c:f>categories</c:f>
              <c:strCache>
                <c:ptCount val="5"/>
                <c:pt idx="0">
                  <c:v>Cyców</c:v>
                </c:pt>
                <c:pt idx="1">
                  <c:v>Ludwin</c:v>
                </c:pt>
                <c:pt idx="2">
                  <c:v>Milejów</c:v>
                </c:pt>
                <c:pt idx="3">
                  <c:v>Puchaczów</c:v>
                </c:pt>
                <c:pt idx="4">
                  <c:v>Urszulin</c:v>
                </c:pt>
              </c:strCache>
            </c:strRef>
          </c:cat>
          <c:val>
            <c:numRef>
              <c:f>4</c:f>
              <c:numCache>
                <c:formatCode>General</c:formatCode>
                <c:ptCount val="5"/>
                <c:pt idx="0">
                  <c:v>2.76</c:v>
                </c:pt>
                <c:pt idx="1">
                  <c:v>4.63</c:v>
                </c:pt>
                <c:pt idx="2">
                  <c:v>0.11</c:v>
                </c:pt>
                <c:pt idx="3">
                  <c:v>0.88</c:v>
                </c:pt>
                <c:pt idx="4">
                  <c:v>-3.61</c:v>
                </c:pt>
              </c:numCache>
            </c:numRef>
          </c:val>
        </c:ser>
        <c:dLbls>
          <c:showLegendKey val="0"/>
          <c:showVal val="0"/>
          <c:showCatName val="0"/>
          <c:showSerName val="0"/>
          <c:showPercent val="0"/>
          <c:showBubbleSize val="0"/>
        </c:dLbls>
        <c:gapWidth val="219"/>
        <c:overlap val="-27"/>
        <c:axId val="147470336"/>
        <c:axId val="146874368"/>
      </c:barChart>
      <c:catAx>
        <c:axId val="147470336"/>
        <c:scaling>
          <c:orientation val="minMax"/>
        </c:scaling>
        <c:delete val="0"/>
        <c:axPos val="b"/>
        <c:numFmt formatCode="[$-415]d\/mm\/\Y\Y\Y\Y" sourceLinked="1"/>
        <c:majorTickMark val="none"/>
        <c:minorTickMark val="none"/>
        <c:tickLblPos val="low"/>
        <c:spPr>
          <a:ln w="9360">
            <a:solidFill>
              <a:srgbClr val="D9D9D9"/>
            </a:solidFill>
            <a:round/>
          </a:ln>
        </c:spPr>
        <c:txPr>
          <a:bodyPr/>
          <a:lstStyle/>
          <a:p>
            <a:pPr>
              <a:defRPr sz="900" b="0" strike="noStrike" spc="-1">
                <a:solidFill>
                  <a:srgbClr val="595959"/>
                </a:solidFill>
                <a:latin typeface="Calibri"/>
              </a:defRPr>
            </a:pPr>
            <a:endParaRPr lang="pl-PL"/>
          </a:p>
        </c:txPr>
        <c:crossAx val="146874368"/>
        <c:crosses val="autoZero"/>
        <c:auto val="1"/>
        <c:lblAlgn val="ctr"/>
        <c:lblOffset val="100"/>
        <c:noMultiLvlLbl val="1"/>
      </c:catAx>
      <c:valAx>
        <c:axId val="146874368"/>
        <c:scaling>
          <c:orientation val="minMax"/>
        </c:scaling>
        <c:delete val="0"/>
        <c:axPos val="l"/>
        <c:majorGridlines>
          <c:spPr>
            <a:ln w="9360">
              <a:solidFill>
                <a:srgbClr val="D9D9D9"/>
              </a:solidFill>
              <a:round/>
            </a:ln>
          </c:spPr>
        </c:majorGridlines>
        <c:numFmt formatCode="###,0\.00"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l-PL"/>
          </a:p>
        </c:txPr>
        <c:crossAx val="147470336"/>
        <c:crosses val="autoZero"/>
        <c:crossBetween val="between"/>
      </c:valAx>
      <c:dTable>
        <c:showHorzBorder val="1"/>
        <c:showVertBorder val="1"/>
        <c:showOutline val="1"/>
        <c:showKeys val="1"/>
      </c:dTable>
      <c:spPr>
        <a:noFill/>
        <a:ln>
          <a:noFill/>
        </a:ln>
      </c:spPr>
    </c:plotArea>
    <c:plotVisOnly val="1"/>
    <c:dispBlanksAs val="gap"/>
    <c:showDLblsOverMax val="1"/>
  </c:chart>
  <c:spPr>
    <a:noFill/>
    <a:ln w="9360">
      <a:noFill/>
    </a:ln>
  </c:spPr>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981D83-3CBE-4080-9595-EC292B937D1C}"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59AFA805-7476-4D7C-A26C-2611A73314D3}">
      <dgm:prSet phldrT="[Tekst]" custT="1"/>
      <dgm:spPr/>
      <dgm:t>
        <a:bodyPr/>
        <a:lstStyle/>
        <a:p>
          <a:r>
            <a:rPr lang="pl-PL" sz="2800"/>
            <a:t>Porozumienie gmin </a:t>
          </a:r>
          <a:br>
            <a:rPr lang="pl-PL" sz="2800"/>
          </a:br>
          <a:r>
            <a:rPr lang="pl-PL" sz="2800"/>
            <a:t>ZIELONE ZAGŁĘBIE</a:t>
          </a:r>
        </a:p>
      </dgm:t>
    </dgm:pt>
    <dgm:pt modelId="{D613DE4F-1CC0-4F58-BE16-76ED0EC6CAA6}" type="parTrans" cxnId="{F5830FE0-84BC-4A1F-9754-C38A4D5F5B01}">
      <dgm:prSet/>
      <dgm:spPr/>
      <dgm:t>
        <a:bodyPr/>
        <a:lstStyle/>
        <a:p>
          <a:endParaRPr lang="pl-PL"/>
        </a:p>
      </dgm:t>
    </dgm:pt>
    <dgm:pt modelId="{9342F9D1-B8FB-4AEF-993C-E9289E2E532A}" type="sibTrans" cxnId="{F5830FE0-84BC-4A1F-9754-C38A4D5F5B01}">
      <dgm:prSet/>
      <dgm:spPr/>
      <dgm:t>
        <a:bodyPr/>
        <a:lstStyle/>
        <a:p>
          <a:endParaRPr lang="pl-PL"/>
        </a:p>
      </dgm:t>
    </dgm:pt>
    <dgm:pt modelId="{9172C20D-DEE6-44E3-8FE6-6FE708DD8E8B}" type="pres">
      <dgm:prSet presAssocID="{25981D83-3CBE-4080-9595-EC292B937D1C}" presName="Name0" presStyleCnt="0">
        <dgm:presLayoutVars>
          <dgm:chPref val="1"/>
          <dgm:dir/>
          <dgm:animOne val="branch"/>
          <dgm:animLvl val="lvl"/>
          <dgm:resizeHandles/>
        </dgm:presLayoutVars>
      </dgm:prSet>
      <dgm:spPr/>
      <dgm:t>
        <a:bodyPr/>
        <a:lstStyle/>
        <a:p>
          <a:endParaRPr lang="pl-PL"/>
        </a:p>
      </dgm:t>
    </dgm:pt>
    <dgm:pt modelId="{8475E0D0-649E-42D7-80DA-5E1533FE4615}" type="pres">
      <dgm:prSet presAssocID="{59AFA805-7476-4D7C-A26C-2611A73314D3}" presName="vertOne" presStyleCnt="0"/>
      <dgm:spPr/>
    </dgm:pt>
    <dgm:pt modelId="{39BA4AA0-EFD4-477F-ADD6-014B38511726}" type="pres">
      <dgm:prSet presAssocID="{59AFA805-7476-4D7C-A26C-2611A73314D3}" presName="txOne" presStyleLbl="node0" presStyleIdx="0" presStyleCnt="1" custLinFactNeighborX="-2604" custLinFactNeighborY="-9836">
        <dgm:presLayoutVars>
          <dgm:chPref val="3"/>
        </dgm:presLayoutVars>
      </dgm:prSet>
      <dgm:spPr/>
      <dgm:t>
        <a:bodyPr/>
        <a:lstStyle/>
        <a:p>
          <a:endParaRPr lang="pl-PL"/>
        </a:p>
      </dgm:t>
    </dgm:pt>
    <dgm:pt modelId="{538FF77B-3501-415B-8368-E072A195A723}" type="pres">
      <dgm:prSet presAssocID="{59AFA805-7476-4D7C-A26C-2611A73314D3}" presName="horzOne" presStyleCnt="0"/>
      <dgm:spPr/>
    </dgm:pt>
  </dgm:ptLst>
  <dgm:cxnLst>
    <dgm:cxn modelId="{F5830FE0-84BC-4A1F-9754-C38A4D5F5B01}" srcId="{25981D83-3CBE-4080-9595-EC292B937D1C}" destId="{59AFA805-7476-4D7C-A26C-2611A73314D3}" srcOrd="0" destOrd="0" parTransId="{D613DE4F-1CC0-4F58-BE16-76ED0EC6CAA6}" sibTransId="{9342F9D1-B8FB-4AEF-993C-E9289E2E532A}"/>
    <dgm:cxn modelId="{494D8E18-4B20-462A-91BE-59FB3735BB47}" type="presOf" srcId="{59AFA805-7476-4D7C-A26C-2611A73314D3}" destId="{39BA4AA0-EFD4-477F-ADD6-014B38511726}" srcOrd="0" destOrd="0" presId="urn:microsoft.com/office/officeart/2005/8/layout/hierarchy4"/>
    <dgm:cxn modelId="{BCE44A51-61CC-41EB-96D3-D2533F8E283F}" type="presOf" srcId="{25981D83-3CBE-4080-9595-EC292B937D1C}" destId="{9172C20D-DEE6-44E3-8FE6-6FE708DD8E8B}" srcOrd="0" destOrd="0" presId="urn:microsoft.com/office/officeart/2005/8/layout/hierarchy4"/>
    <dgm:cxn modelId="{F53A1252-126D-40AC-B92A-B1C54088EB0A}" type="presParOf" srcId="{9172C20D-DEE6-44E3-8FE6-6FE708DD8E8B}" destId="{8475E0D0-649E-42D7-80DA-5E1533FE4615}" srcOrd="0" destOrd="0" presId="urn:microsoft.com/office/officeart/2005/8/layout/hierarchy4"/>
    <dgm:cxn modelId="{3EA4BB9B-256A-4AF8-8597-67901217E271}" type="presParOf" srcId="{8475E0D0-649E-42D7-80DA-5E1533FE4615}" destId="{39BA4AA0-EFD4-477F-ADD6-014B38511726}" srcOrd="0" destOrd="0" presId="urn:microsoft.com/office/officeart/2005/8/layout/hierarchy4"/>
    <dgm:cxn modelId="{5C159956-483D-4EBC-8F46-69AEC0135E5D}" type="presParOf" srcId="{8475E0D0-649E-42D7-80DA-5E1533FE4615}" destId="{538FF77B-3501-415B-8368-E072A195A723}" srcOrd="1" destOrd="0" presId="urn:microsoft.com/office/officeart/2005/8/layout/hierarchy4"/>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2127BB-FDA9-4330-AB3A-D119D5854AC9}"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E1E8C3FB-7577-437A-A1EE-4BA6AF10C633}">
      <dgm:prSet phldrT="[Tekst]" custT="1"/>
      <dgm:spPr/>
      <dgm:t>
        <a:bodyPr/>
        <a:lstStyle/>
        <a:p>
          <a:r>
            <a:rPr lang="pl-PL" sz="2400"/>
            <a:t>Strategia Ponadlokalna</a:t>
          </a:r>
        </a:p>
      </dgm:t>
    </dgm:pt>
    <dgm:pt modelId="{2DB16389-5B01-4FDE-9901-F4E8827719E4}" type="parTrans" cxnId="{46BD7661-8139-4138-8C23-D9173E459FE2}">
      <dgm:prSet/>
      <dgm:spPr/>
      <dgm:t>
        <a:bodyPr/>
        <a:lstStyle/>
        <a:p>
          <a:endParaRPr lang="pl-PL"/>
        </a:p>
      </dgm:t>
    </dgm:pt>
    <dgm:pt modelId="{419557E5-F204-4321-914F-4E85D8D15AC3}" type="sibTrans" cxnId="{46BD7661-8139-4138-8C23-D9173E459FE2}">
      <dgm:prSet/>
      <dgm:spPr/>
      <dgm:t>
        <a:bodyPr/>
        <a:lstStyle/>
        <a:p>
          <a:endParaRPr lang="pl-PL"/>
        </a:p>
      </dgm:t>
    </dgm:pt>
    <dgm:pt modelId="{5BA68358-64BA-43A0-B63B-4777D98DDE45}">
      <dgm:prSet custT="1"/>
      <dgm:spPr>
        <a:solidFill>
          <a:schemeClr val="accent1">
            <a:lumMod val="60000"/>
            <a:lumOff val="40000"/>
          </a:schemeClr>
        </a:solidFill>
      </dgm:spPr>
      <dgm:t>
        <a:bodyPr/>
        <a:lstStyle/>
        <a:p>
          <a:r>
            <a:rPr lang="pl-PL" sz="900" b="1"/>
            <a:t>- Przedsięwzięcia kluczowe</a:t>
          </a:r>
        </a:p>
        <a:p>
          <a:r>
            <a:rPr lang="pl-PL" sz="900" b="1"/>
            <a:t>- Projekty partnerskie</a:t>
          </a:r>
        </a:p>
        <a:p>
          <a:r>
            <a:rPr lang="pl-PL" sz="900" b="1"/>
            <a:t>- Wiązki Projektów</a:t>
          </a:r>
        </a:p>
      </dgm:t>
    </dgm:pt>
    <dgm:pt modelId="{0CDC93CD-FC34-425F-BD8E-8FA160400982}" type="parTrans" cxnId="{B672ABEF-7775-4A3D-B221-FA8CEF4A3277}">
      <dgm:prSet/>
      <dgm:spPr/>
      <dgm:t>
        <a:bodyPr/>
        <a:lstStyle/>
        <a:p>
          <a:endParaRPr lang="pl-PL"/>
        </a:p>
      </dgm:t>
    </dgm:pt>
    <dgm:pt modelId="{C2A110C4-AB73-426C-BC88-C6990CE8923A}" type="sibTrans" cxnId="{B672ABEF-7775-4A3D-B221-FA8CEF4A3277}">
      <dgm:prSet/>
      <dgm:spPr/>
      <dgm:t>
        <a:bodyPr/>
        <a:lstStyle/>
        <a:p>
          <a:endParaRPr lang="pl-PL"/>
        </a:p>
      </dgm:t>
    </dgm:pt>
    <dgm:pt modelId="{87F9829F-339B-4394-ABAD-F0A657483CC2}" type="pres">
      <dgm:prSet presAssocID="{4E2127BB-FDA9-4330-AB3A-D119D5854AC9}" presName="Name0" presStyleCnt="0">
        <dgm:presLayoutVars>
          <dgm:chPref val="1"/>
          <dgm:dir/>
          <dgm:animOne val="branch"/>
          <dgm:animLvl val="lvl"/>
          <dgm:resizeHandles/>
        </dgm:presLayoutVars>
      </dgm:prSet>
      <dgm:spPr/>
      <dgm:t>
        <a:bodyPr/>
        <a:lstStyle/>
        <a:p>
          <a:endParaRPr lang="pl-PL"/>
        </a:p>
      </dgm:t>
    </dgm:pt>
    <dgm:pt modelId="{084AF39A-5195-4426-A6D9-32294881CBB8}" type="pres">
      <dgm:prSet presAssocID="{E1E8C3FB-7577-437A-A1EE-4BA6AF10C633}" presName="vertOne" presStyleCnt="0"/>
      <dgm:spPr/>
    </dgm:pt>
    <dgm:pt modelId="{C130A965-68AC-409B-A37C-1A6EE770B80A}" type="pres">
      <dgm:prSet presAssocID="{E1E8C3FB-7577-437A-A1EE-4BA6AF10C633}" presName="txOne" presStyleLbl="node0" presStyleIdx="0" presStyleCnt="2" custScaleX="179275" custScaleY="81651" custLinFactNeighborX="2058" custLinFactNeighborY="10092">
        <dgm:presLayoutVars>
          <dgm:chPref val="3"/>
        </dgm:presLayoutVars>
      </dgm:prSet>
      <dgm:spPr/>
      <dgm:t>
        <a:bodyPr/>
        <a:lstStyle/>
        <a:p>
          <a:endParaRPr lang="pl-PL"/>
        </a:p>
      </dgm:t>
    </dgm:pt>
    <dgm:pt modelId="{A40BF05F-E343-427D-89B3-BF30379E631B}" type="pres">
      <dgm:prSet presAssocID="{E1E8C3FB-7577-437A-A1EE-4BA6AF10C633}" presName="horzOne" presStyleCnt="0"/>
      <dgm:spPr/>
    </dgm:pt>
    <dgm:pt modelId="{F01C8278-44D2-44E0-92C1-38B347A7B12E}" type="pres">
      <dgm:prSet presAssocID="{419557E5-F204-4321-914F-4E85D8D15AC3}" presName="sibSpaceOne" presStyleCnt="0"/>
      <dgm:spPr/>
    </dgm:pt>
    <dgm:pt modelId="{F7D16397-76C9-4ED2-B937-0D4584B3DF14}" type="pres">
      <dgm:prSet presAssocID="{5BA68358-64BA-43A0-B63B-4777D98DDE45}" presName="vertOne" presStyleCnt="0"/>
      <dgm:spPr/>
    </dgm:pt>
    <dgm:pt modelId="{4C34A831-4322-401B-9054-1A5161907B77}" type="pres">
      <dgm:prSet presAssocID="{5BA68358-64BA-43A0-B63B-4777D98DDE45}" presName="txOne" presStyleLbl="node0" presStyleIdx="1" presStyleCnt="2">
        <dgm:presLayoutVars>
          <dgm:chPref val="3"/>
        </dgm:presLayoutVars>
      </dgm:prSet>
      <dgm:spPr>
        <a:prstGeom prst="rightArrow">
          <a:avLst/>
        </a:prstGeom>
      </dgm:spPr>
      <dgm:t>
        <a:bodyPr/>
        <a:lstStyle/>
        <a:p>
          <a:endParaRPr lang="pl-PL"/>
        </a:p>
      </dgm:t>
    </dgm:pt>
    <dgm:pt modelId="{25F1CD6B-2EA0-4FE1-8DDD-1749BE3CA710}" type="pres">
      <dgm:prSet presAssocID="{5BA68358-64BA-43A0-B63B-4777D98DDE45}" presName="horzOne" presStyleCnt="0"/>
      <dgm:spPr/>
    </dgm:pt>
  </dgm:ptLst>
  <dgm:cxnLst>
    <dgm:cxn modelId="{46BD7661-8139-4138-8C23-D9173E459FE2}" srcId="{4E2127BB-FDA9-4330-AB3A-D119D5854AC9}" destId="{E1E8C3FB-7577-437A-A1EE-4BA6AF10C633}" srcOrd="0" destOrd="0" parTransId="{2DB16389-5B01-4FDE-9901-F4E8827719E4}" sibTransId="{419557E5-F204-4321-914F-4E85D8D15AC3}"/>
    <dgm:cxn modelId="{531A7F50-1831-49BA-B195-DA2DAE576AD1}" type="presOf" srcId="{E1E8C3FB-7577-437A-A1EE-4BA6AF10C633}" destId="{C130A965-68AC-409B-A37C-1A6EE770B80A}" srcOrd="0" destOrd="0" presId="urn:microsoft.com/office/officeart/2005/8/layout/hierarchy4"/>
    <dgm:cxn modelId="{0ED2CC91-A788-40B2-B0E3-6E236E74EE01}" type="presOf" srcId="{5BA68358-64BA-43A0-B63B-4777D98DDE45}" destId="{4C34A831-4322-401B-9054-1A5161907B77}" srcOrd="0" destOrd="0" presId="urn:microsoft.com/office/officeart/2005/8/layout/hierarchy4"/>
    <dgm:cxn modelId="{B672ABEF-7775-4A3D-B221-FA8CEF4A3277}" srcId="{4E2127BB-FDA9-4330-AB3A-D119D5854AC9}" destId="{5BA68358-64BA-43A0-B63B-4777D98DDE45}" srcOrd="1" destOrd="0" parTransId="{0CDC93CD-FC34-425F-BD8E-8FA160400982}" sibTransId="{C2A110C4-AB73-426C-BC88-C6990CE8923A}"/>
    <dgm:cxn modelId="{48DC7410-514A-4EF1-87C6-D473A48BEAEB}" type="presOf" srcId="{4E2127BB-FDA9-4330-AB3A-D119D5854AC9}" destId="{87F9829F-339B-4394-ABAD-F0A657483CC2}" srcOrd="0" destOrd="0" presId="urn:microsoft.com/office/officeart/2005/8/layout/hierarchy4"/>
    <dgm:cxn modelId="{A18EE494-EB90-4E3D-85C1-2B214186552C}" type="presParOf" srcId="{87F9829F-339B-4394-ABAD-F0A657483CC2}" destId="{084AF39A-5195-4426-A6D9-32294881CBB8}" srcOrd="0" destOrd="0" presId="urn:microsoft.com/office/officeart/2005/8/layout/hierarchy4"/>
    <dgm:cxn modelId="{9DC2BAA6-4B18-49B8-B474-FB5139C30348}" type="presParOf" srcId="{084AF39A-5195-4426-A6D9-32294881CBB8}" destId="{C130A965-68AC-409B-A37C-1A6EE770B80A}" srcOrd="0" destOrd="0" presId="urn:microsoft.com/office/officeart/2005/8/layout/hierarchy4"/>
    <dgm:cxn modelId="{264074B0-0BB4-4DF8-85BC-D81EDB7B04F8}" type="presParOf" srcId="{084AF39A-5195-4426-A6D9-32294881CBB8}" destId="{A40BF05F-E343-427D-89B3-BF30379E631B}" srcOrd="1" destOrd="0" presId="urn:microsoft.com/office/officeart/2005/8/layout/hierarchy4"/>
    <dgm:cxn modelId="{7ECF4DD7-9824-471B-9E75-BC58BEC26840}" type="presParOf" srcId="{87F9829F-339B-4394-ABAD-F0A657483CC2}" destId="{F01C8278-44D2-44E0-92C1-38B347A7B12E}" srcOrd="1" destOrd="0" presId="urn:microsoft.com/office/officeart/2005/8/layout/hierarchy4"/>
    <dgm:cxn modelId="{5A94D583-FE4B-472A-AECD-332258CD6EF0}" type="presParOf" srcId="{87F9829F-339B-4394-ABAD-F0A657483CC2}" destId="{F7D16397-76C9-4ED2-B937-0D4584B3DF14}" srcOrd="2" destOrd="0" presId="urn:microsoft.com/office/officeart/2005/8/layout/hierarchy4"/>
    <dgm:cxn modelId="{50C64B85-BB18-4E7E-BB60-5C49A5165AAD}" type="presParOf" srcId="{F7D16397-76C9-4ED2-B937-0D4584B3DF14}" destId="{4C34A831-4322-401B-9054-1A5161907B77}" srcOrd="0" destOrd="0" presId="urn:microsoft.com/office/officeart/2005/8/layout/hierarchy4"/>
    <dgm:cxn modelId="{E59D6985-83E9-44C7-A407-492C615F1165}" type="presParOf" srcId="{F7D16397-76C9-4ED2-B937-0D4584B3DF14}" destId="{25F1CD6B-2EA0-4FE1-8DDD-1749BE3CA710}" srcOrd="1" destOrd="0" presId="urn:microsoft.com/office/officeart/2005/8/layout/hierarchy4"/>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45E60BC-F718-43AC-9A2F-99F7CB1CFC9D}"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FAC85209-17D5-4538-8836-6B4C207E6C3F}">
      <dgm:prSet phldrT="[Tekst]"/>
      <dgm:spPr/>
      <dgm:t>
        <a:bodyPr/>
        <a:lstStyle/>
        <a:p>
          <a:r>
            <a:rPr lang="pl-PL" b="1"/>
            <a:t>Program Rozwoju</a:t>
          </a:r>
        </a:p>
        <a:p>
          <a:r>
            <a:rPr lang="pl-PL" b="1"/>
            <a:t>Puchaczów</a:t>
          </a:r>
        </a:p>
      </dgm:t>
    </dgm:pt>
    <dgm:pt modelId="{148E4FBD-E5CC-450F-B3D1-F9F31A20B3F1}" type="parTrans" cxnId="{664CC0E0-3831-4CD6-A31A-97173660CA1D}">
      <dgm:prSet/>
      <dgm:spPr/>
      <dgm:t>
        <a:bodyPr/>
        <a:lstStyle/>
        <a:p>
          <a:endParaRPr lang="pl-PL"/>
        </a:p>
      </dgm:t>
    </dgm:pt>
    <dgm:pt modelId="{216865F7-5B19-4F4C-9664-54E4AAE69E9E}" type="sibTrans" cxnId="{664CC0E0-3831-4CD6-A31A-97173660CA1D}">
      <dgm:prSet/>
      <dgm:spPr/>
      <dgm:t>
        <a:bodyPr/>
        <a:lstStyle/>
        <a:p>
          <a:endParaRPr lang="pl-PL"/>
        </a:p>
      </dgm:t>
    </dgm:pt>
    <dgm:pt modelId="{CF0B5028-1730-4B0E-9238-FC796623C7DE}">
      <dgm:prSet/>
      <dgm:spPr>
        <a:solidFill>
          <a:schemeClr val="accent1">
            <a:lumMod val="40000"/>
            <a:lumOff val="60000"/>
          </a:schemeClr>
        </a:solidFill>
      </dgm:spPr>
      <dgm:t>
        <a:bodyPr/>
        <a:lstStyle/>
        <a:p>
          <a:r>
            <a:rPr lang="pl-PL" b="1"/>
            <a:t>- Projekty strategiczne</a:t>
          </a:r>
        </a:p>
        <a:p>
          <a:r>
            <a:rPr lang="pl-PL" b="1"/>
            <a:t>- Projekty indywidualne</a:t>
          </a:r>
        </a:p>
      </dgm:t>
    </dgm:pt>
    <dgm:pt modelId="{06B77E70-B9D5-46BD-8D57-24033424B80F}" type="parTrans" cxnId="{2C969518-5632-4775-9137-D361232D16CC}">
      <dgm:prSet/>
      <dgm:spPr/>
      <dgm:t>
        <a:bodyPr/>
        <a:lstStyle/>
        <a:p>
          <a:endParaRPr lang="pl-PL"/>
        </a:p>
      </dgm:t>
    </dgm:pt>
    <dgm:pt modelId="{6487ACF6-7467-4F4A-A8B6-59131A2E3523}" type="sibTrans" cxnId="{2C969518-5632-4775-9137-D361232D16CC}">
      <dgm:prSet/>
      <dgm:spPr/>
      <dgm:t>
        <a:bodyPr/>
        <a:lstStyle/>
        <a:p>
          <a:endParaRPr lang="pl-PL"/>
        </a:p>
      </dgm:t>
    </dgm:pt>
    <dgm:pt modelId="{D3FBDEB9-E643-479E-88B0-CE3A922B37AC}">
      <dgm:prSet/>
      <dgm:spPr/>
      <dgm:t>
        <a:bodyPr/>
        <a:lstStyle/>
        <a:p>
          <a:r>
            <a:rPr lang="pl-PL" b="1"/>
            <a:t>Program Rozwoju</a:t>
          </a:r>
        </a:p>
        <a:p>
          <a:r>
            <a:rPr lang="pl-PL" b="1"/>
            <a:t>Cyców</a:t>
          </a:r>
        </a:p>
      </dgm:t>
    </dgm:pt>
    <dgm:pt modelId="{14C676F6-AF52-498C-9CD7-D81D4226B319}" type="parTrans" cxnId="{83143D6F-9323-4EB4-99A0-771B8A051E25}">
      <dgm:prSet/>
      <dgm:spPr/>
      <dgm:t>
        <a:bodyPr/>
        <a:lstStyle/>
        <a:p>
          <a:endParaRPr lang="pl-PL"/>
        </a:p>
      </dgm:t>
    </dgm:pt>
    <dgm:pt modelId="{06D90FFE-948E-47E8-88AC-C91CB877976B}" type="sibTrans" cxnId="{83143D6F-9323-4EB4-99A0-771B8A051E25}">
      <dgm:prSet/>
      <dgm:spPr/>
      <dgm:t>
        <a:bodyPr/>
        <a:lstStyle/>
        <a:p>
          <a:endParaRPr lang="pl-PL"/>
        </a:p>
      </dgm:t>
    </dgm:pt>
    <dgm:pt modelId="{6E849413-1332-4FA0-9A15-AFF3668EB528}">
      <dgm:prSet/>
      <dgm:spPr/>
      <dgm:t>
        <a:bodyPr/>
        <a:lstStyle/>
        <a:p>
          <a:r>
            <a:rPr lang="pl-PL" b="1"/>
            <a:t>Program Rozwoju</a:t>
          </a:r>
        </a:p>
        <a:p>
          <a:r>
            <a:rPr lang="pl-PL" b="1"/>
            <a:t>Ludwin</a:t>
          </a:r>
        </a:p>
      </dgm:t>
    </dgm:pt>
    <dgm:pt modelId="{55F18A87-64C2-44CE-9784-58E3F1111CED}" type="parTrans" cxnId="{5E464DB8-BA43-4612-BC3B-2A184AB8EF20}">
      <dgm:prSet/>
      <dgm:spPr/>
      <dgm:t>
        <a:bodyPr/>
        <a:lstStyle/>
        <a:p>
          <a:endParaRPr lang="pl-PL"/>
        </a:p>
      </dgm:t>
    </dgm:pt>
    <dgm:pt modelId="{3ABAC81D-EF35-443F-8FB1-EB672ED87B8B}" type="sibTrans" cxnId="{5E464DB8-BA43-4612-BC3B-2A184AB8EF20}">
      <dgm:prSet/>
      <dgm:spPr/>
      <dgm:t>
        <a:bodyPr/>
        <a:lstStyle/>
        <a:p>
          <a:endParaRPr lang="pl-PL"/>
        </a:p>
      </dgm:t>
    </dgm:pt>
    <dgm:pt modelId="{2335E1BA-36FE-436D-8EAD-B1AF88E8D455}">
      <dgm:prSet/>
      <dgm:spPr/>
      <dgm:t>
        <a:bodyPr/>
        <a:lstStyle/>
        <a:p>
          <a:r>
            <a:rPr lang="pl-PL" b="1"/>
            <a:t>Program Rozwoju</a:t>
          </a:r>
        </a:p>
        <a:p>
          <a:r>
            <a:rPr lang="pl-PL" b="1"/>
            <a:t>Urszulin</a:t>
          </a:r>
        </a:p>
      </dgm:t>
    </dgm:pt>
    <dgm:pt modelId="{55C4CD54-2F63-41AE-BF0E-3E2B1071CE48}" type="parTrans" cxnId="{B85A56F2-F161-4AE8-9EE0-DCE6695B94D2}">
      <dgm:prSet/>
      <dgm:spPr/>
      <dgm:t>
        <a:bodyPr/>
        <a:lstStyle/>
        <a:p>
          <a:endParaRPr lang="pl-PL"/>
        </a:p>
      </dgm:t>
    </dgm:pt>
    <dgm:pt modelId="{F0C65135-15AB-4012-AC73-9F3B0888A6B6}" type="sibTrans" cxnId="{B85A56F2-F161-4AE8-9EE0-DCE6695B94D2}">
      <dgm:prSet/>
      <dgm:spPr/>
      <dgm:t>
        <a:bodyPr/>
        <a:lstStyle/>
        <a:p>
          <a:endParaRPr lang="pl-PL"/>
        </a:p>
      </dgm:t>
    </dgm:pt>
    <dgm:pt modelId="{CCFD642B-1DF4-4FFA-964F-8240A349205B}">
      <dgm:prSet/>
      <dgm:spPr/>
      <dgm:t>
        <a:bodyPr/>
        <a:lstStyle/>
        <a:p>
          <a:r>
            <a:rPr lang="pl-PL" b="1"/>
            <a:t>Program Rozwoju</a:t>
          </a:r>
        </a:p>
        <a:p>
          <a:r>
            <a:rPr lang="pl-PL" b="1"/>
            <a:t>Milejów</a:t>
          </a:r>
        </a:p>
      </dgm:t>
    </dgm:pt>
    <dgm:pt modelId="{837A382C-E119-423B-BD57-991FA0C09726}" type="parTrans" cxnId="{281A8ECA-DACC-43AE-A836-68B198E49300}">
      <dgm:prSet/>
      <dgm:spPr/>
      <dgm:t>
        <a:bodyPr/>
        <a:lstStyle/>
        <a:p>
          <a:endParaRPr lang="pl-PL"/>
        </a:p>
      </dgm:t>
    </dgm:pt>
    <dgm:pt modelId="{5040C37B-4CF8-4C8C-8018-EA0FDBDAC0C6}" type="sibTrans" cxnId="{281A8ECA-DACC-43AE-A836-68B198E49300}">
      <dgm:prSet/>
      <dgm:spPr/>
      <dgm:t>
        <a:bodyPr/>
        <a:lstStyle/>
        <a:p>
          <a:endParaRPr lang="pl-PL"/>
        </a:p>
      </dgm:t>
    </dgm:pt>
    <dgm:pt modelId="{E3D5AC5F-6681-4786-9147-0C3D129AB644}" type="pres">
      <dgm:prSet presAssocID="{845E60BC-F718-43AC-9A2F-99F7CB1CFC9D}" presName="Name0" presStyleCnt="0">
        <dgm:presLayoutVars>
          <dgm:chPref val="1"/>
          <dgm:dir/>
          <dgm:animOne val="branch"/>
          <dgm:animLvl val="lvl"/>
          <dgm:resizeHandles/>
        </dgm:presLayoutVars>
      </dgm:prSet>
      <dgm:spPr/>
      <dgm:t>
        <a:bodyPr/>
        <a:lstStyle/>
        <a:p>
          <a:endParaRPr lang="pl-PL"/>
        </a:p>
      </dgm:t>
    </dgm:pt>
    <dgm:pt modelId="{25878A5C-FA04-4AB3-B452-D668C78043E5}" type="pres">
      <dgm:prSet presAssocID="{FAC85209-17D5-4538-8836-6B4C207E6C3F}" presName="vertOne" presStyleCnt="0"/>
      <dgm:spPr/>
    </dgm:pt>
    <dgm:pt modelId="{F41CBDD7-A3F7-4F81-9017-782FDDFF9C1A}" type="pres">
      <dgm:prSet presAssocID="{FAC85209-17D5-4538-8836-6B4C207E6C3F}" presName="txOne" presStyleLbl="node0" presStyleIdx="0" presStyleCnt="6">
        <dgm:presLayoutVars>
          <dgm:chPref val="3"/>
        </dgm:presLayoutVars>
      </dgm:prSet>
      <dgm:spPr/>
      <dgm:t>
        <a:bodyPr/>
        <a:lstStyle/>
        <a:p>
          <a:endParaRPr lang="pl-PL"/>
        </a:p>
      </dgm:t>
    </dgm:pt>
    <dgm:pt modelId="{DB334460-1B43-403C-B885-656DD2C0E372}" type="pres">
      <dgm:prSet presAssocID="{FAC85209-17D5-4538-8836-6B4C207E6C3F}" presName="horzOne" presStyleCnt="0"/>
      <dgm:spPr/>
    </dgm:pt>
    <dgm:pt modelId="{AD053612-0AF7-452C-8A79-D3896B3B3443}" type="pres">
      <dgm:prSet presAssocID="{216865F7-5B19-4F4C-9664-54E4AAE69E9E}" presName="sibSpaceOne" presStyleCnt="0"/>
      <dgm:spPr/>
    </dgm:pt>
    <dgm:pt modelId="{42FB2BA3-EFC7-47BE-A679-9AE0A074029C}" type="pres">
      <dgm:prSet presAssocID="{D3FBDEB9-E643-479E-88B0-CE3A922B37AC}" presName="vertOne" presStyleCnt="0"/>
      <dgm:spPr/>
    </dgm:pt>
    <dgm:pt modelId="{F140446A-D8BB-46DD-BDD6-1A570A0A48B7}" type="pres">
      <dgm:prSet presAssocID="{D3FBDEB9-E643-479E-88B0-CE3A922B37AC}" presName="txOne" presStyleLbl="node0" presStyleIdx="1" presStyleCnt="6">
        <dgm:presLayoutVars>
          <dgm:chPref val="3"/>
        </dgm:presLayoutVars>
      </dgm:prSet>
      <dgm:spPr/>
      <dgm:t>
        <a:bodyPr/>
        <a:lstStyle/>
        <a:p>
          <a:endParaRPr lang="pl-PL"/>
        </a:p>
      </dgm:t>
    </dgm:pt>
    <dgm:pt modelId="{22A0523D-58E4-4577-BBD3-393141183DB6}" type="pres">
      <dgm:prSet presAssocID="{D3FBDEB9-E643-479E-88B0-CE3A922B37AC}" presName="horzOne" presStyleCnt="0"/>
      <dgm:spPr/>
    </dgm:pt>
    <dgm:pt modelId="{CF0243FF-DFD9-4C8B-8018-A561586A4B08}" type="pres">
      <dgm:prSet presAssocID="{06D90FFE-948E-47E8-88AC-C91CB877976B}" presName="sibSpaceOne" presStyleCnt="0"/>
      <dgm:spPr/>
    </dgm:pt>
    <dgm:pt modelId="{649A3B78-993F-4837-B8D0-B3F4C09D48DA}" type="pres">
      <dgm:prSet presAssocID="{6E849413-1332-4FA0-9A15-AFF3668EB528}" presName="vertOne" presStyleCnt="0"/>
      <dgm:spPr/>
    </dgm:pt>
    <dgm:pt modelId="{26FFDDBC-4D2F-4905-8778-D0CB55404D04}" type="pres">
      <dgm:prSet presAssocID="{6E849413-1332-4FA0-9A15-AFF3668EB528}" presName="txOne" presStyleLbl="node0" presStyleIdx="2" presStyleCnt="6">
        <dgm:presLayoutVars>
          <dgm:chPref val="3"/>
        </dgm:presLayoutVars>
      </dgm:prSet>
      <dgm:spPr/>
      <dgm:t>
        <a:bodyPr/>
        <a:lstStyle/>
        <a:p>
          <a:endParaRPr lang="pl-PL"/>
        </a:p>
      </dgm:t>
    </dgm:pt>
    <dgm:pt modelId="{05266BA8-AD2F-471C-859C-71CB87826D6B}" type="pres">
      <dgm:prSet presAssocID="{6E849413-1332-4FA0-9A15-AFF3668EB528}" presName="horzOne" presStyleCnt="0"/>
      <dgm:spPr/>
    </dgm:pt>
    <dgm:pt modelId="{DCE101CA-27CA-4533-A306-13A49C65382B}" type="pres">
      <dgm:prSet presAssocID="{3ABAC81D-EF35-443F-8FB1-EB672ED87B8B}" presName="sibSpaceOne" presStyleCnt="0"/>
      <dgm:spPr/>
    </dgm:pt>
    <dgm:pt modelId="{CADA2373-FD32-46E8-9956-2FAA4C419E26}" type="pres">
      <dgm:prSet presAssocID="{CCFD642B-1DF4-4FFA-964F-8240A349205B}" presName="vertOne" presStyleCnt="0"/>
      <dgm:spPr/>
    </dgm:pt>
    <dgm:pt modelId="{B4D2C61E-0454-4486-B25F-24925447351C}" type="pres">
      <dgm:prSet presAssocID="{CCFD642B-1DF4-4FFA-964F-8240A349205B}" presName="txOne" presStyleLbl="node0" presStyleIdx="3" presStyleCnt="6">
        <dgm:presLayoutVars>
          <dgm:chPref val="3"/>
        </dgm:presLayoutVars>
      </dgm:prSet>
      <dgm:spPr/>
      <dgm:t>
        <a:bodyPr/>
        <a:lstStyle/>
        <a:p>
          <a:endParaRPr lang="pl-PL"/>
        </a:p>
      </dgm:t>
    </dgm:pt>
    <dgm:pt modelId="{39BAD1E9-0B25-4078-AC6A-0B03BD51A4C4}" type="pres">
      <dgm:prSet presAssocID="{CCFD642B-1DF4-4FFA-964F-8240A349205B}" presName="horzOne" presStyleCnt="0"/>
      <dgm:spPr/>
    </dgm:pt>
    <dgm:pt modelId="{FC01E836-8040-4FFC-8DF6-51A605901E39}" type="pres">
      <dgm:prSet presAssocID="{5040C37B-4CF8-4C8C-8018-EA0FDBDAC0C6}" presName="sibSpaceOne" presStyleCnt="0"/>
      <dgm:spPr/>
    </dgm:pt>
    <dgm:pt modelId="{058C651C-9273-4D2B-8264-843D21B4F73A}" type="pres">
      <dgm:prSet presAssocID="{2335E1BA-36FE-436D-8EAD-B1AF88E8D455}" presName="vertOne" presStyleCnt="0"/>
      <dgm:spPr/>
    </dgm:pt>
    <dgm:pt modelId="{F6755B08-C8EC-42CB-B8D0-571AAD76D5FF}" type="pres">
      <dgm:prSet presAssocID="{2335E1BA-36FE-436D-8EAD-B1AF88E8D455}" presName="txOne" presStyleLbl="node0" presStyleIdx="4" presStyleCnt="6">
        <dgm:presLayoutVars>
          <dgm:chPref val="3"/>
        </dgm:presLayoutVars>
      </dgm:prSet>
      <dgm:spPr/>
      <dgm:t>
        <a:bodyPr/>
        <a:lstStyle/>
        <a:p>
          <a:endParaRPr lang="pl-PL"/>
        </a:p>
      </dgm:t>
    </dgm:pt>
    <dgm:pt modelId="{37111ED0-B323-45E9-9DE3-AD60E2B5CB60}" type="pres">
      <dgm:prSet presAssocID="{2335E1BA-36FE-436D-8EAD-B1AF88E8D455}" presName="horzOne" presStyleCnt="0"/>
      <dgm:spPr/>
    </dgm:pt>
    <dgm:pt modelId="{6AF32565-E0AE-4922-9FA6-42B07C824AC4}" type="pres">
      <dgm:prSet presAssocID="{F0C65135-15AB-4012-AC73-9F3B0888A6B6}" presName="sibSpaceOne" presStyleCnt="0"/>
      <dgm:spPr/>
    </dgm:pt>
    <dgm:pt modelId="{AA9B23D6-39D2-4276-8418-EFBA694AD534}" type="pres">
      <dgm:prSet presAssocID="{CF0B5028-1730-4B0E-9238-FC796623C7DE}" presName="vertOne" presStyleCnt="0"/>
      <dgm:spPr/>
    </dgm:pt>
    <dgm:pt modelId="{8A2DA788-6F84-4CB0-8940-80F7B37EC89C}" type="pres">
      <dgm:prSet presAssocID="{CF0B5028-1730-4B0E-9238-FC796623C7DE}" presName="txOne" presStyleLbl="node0" presStyleIdx="5" presStyleCnt="6" custScaleX="218063">
        <dgm:presLayoutVars>
          <dgm:chPref val="3"/>
        </dgm:presLayoutVars>
      </dgm:prSet>
      <dgm:spPr>
        <a:prstGeom prst="rightArrow">
          <a:avLst/>
        </a:prstGeom>
      </dgm:spPr>
      <dgm:t>
        <a:bodyPr/>
        <a:lstStyle/>
        <a:p>
          <a:endParaRPr lang="pl-PL"/>
        </a:p>
      </dgm:t>
    </dgm:pt>
    <dgm:pt modelId="{DDE1E7BF-F23C-4F08-9C91-B265791AC782}" type="pres">
      <dgm:prSet presAssocID="{CF0B5028-1730-4B0E-9238-FC796623C7DE}" presName="horzOne" presStyleCnt="0"/>
      <dgm:spPr/>
    </dgm:pt>
  </dgm:ptLst>
  <dgm:cxnLst>
    <dgm:cxn modelId="{DB160DD7-FB18-4441-A98D-6A46DB54351B}" type="presOf" srcId="{FAC85209-17D5-4538-8836-6B4C207E6C3F}" destId="{F41CBDD7-A3F7-4F81-9017-782FDDFF9C1A}" srcOrd="0" destOrd="0" presId="urn:microsoft.com/office/officeart/2005/8/layout/hierarchy4"/>
    <dgm:cxn modelId="{2C969518-5632-4775-9137-D361232D16CC}" srcId="{845E60BC-F718-43AC-9A2F-99F7CB1CFC9D}" destId="{CF0B5028-1730-4B0E-9238-FC796623C7DE}" srcOrd="5" destOrd="0" parTransId="{06B77E70-B9D5-46BD-8D57-24033424B80F}" sibTransId="{6487ACF6-7467-4F4A-A8B6-59131A2E3523}"/>
    <dgm:cxn modelId="{281A8ECA-DACC-43AE-A836-68B198E49300}" srcId="{845E60BC-F718-43AC-9A2F-99F7CB1CFC9D}" destId="{CCFD642B-1DF4-4FFA-964F-8240A349205B}" srcOrd="3" destOrd="0" parTransId="{837A382C-E119-423B-BD57-991FA0C09726}" sibTransId="{5040C37B-4CF8-4C8C-8018-EA0FDBDAC0C6}"/>
    <dgm:cxn modelId="{CC8E6937-D2F5-44D9-A429-516184298C08}" type="presOf" srcId="{6E849413-1332-4FA0-9A15-AFF3668EB528}" destId="{26FFDDBC-4D2F-4905-8778-D0CB55404D04}" srcOrd="0" destOrd="0" presId="urn:microsoft.com/office/officeart/2005/8/layout/hierarchy4"/>
    <dgm:cxn modelId="{8726CC96-A4EB-4A8D-9102-551660A424B9}" type="presOf" srcId="{CF0B5028-1730-4B0E-9238-FC796623C7DE}" destId="{8A2DA788-6F84-4CB0-8940-80F7B37EC89C}" srcOrd="0" destOrd="0" presId="urn:microsoft.com/office/officeart/2005/8/layout/hierarchy4"/>
    <dgm:cxn modelId="{5E464DB8-BA43-4612-BC3B-2A184AB8EF20}" srcId="{845E60BC-F718-43AC-9A2F-99F7CB1CFC9D}" destId="{6E849413-1332-4FA0-9A15-AFF3668EB528}" srcOrd="2" destOrd="0" parTransId="{55F18A87-64C2-44CE-9784-58E3F1111CED}" sibTransId="{3ABAC81D-EF35-443F-8FB1-EB672ED87B8B}"/>
    <dgm:cxn modelId="{83143D6F-9323-4EB4-99A0-771B8A051E25}" srcId="{845E60BC-F718-43AC-9A2F-99F7CB1CFC9D}" destId="{D3FBDEB9-E643-479E-88B0-CE3A922B37AC}" srcOrd="1" destOrd="0" parTransId="{14C676F6-AF52-498C-9CD7-D81D4226B319}" sibTransId="{06D90FFE-948E-47E8-88AC-C91CB877976B}"/>
    <dgm:cxn modelId="{81D4638A-ED60-4683-BA29-B372E1D6CBE2}" type="presOf" srcId="{845E60BC-F718-43AC-9A2F-99F7CB1CFC9D}" destId="{E3D5AC5F-6681-4786-9147-0C3D129AB644}" srcOrd="0" destOrd="0" presId="urn:microsoft.com/office/officeart/2005/8/layout/hierarchy4"/>
    <dgm:cxn modelId="{F85D4C4A-3546-4AFA-9F1C-F6238E0C3C2E}" type="presOf" srcId="{CCFD642B-1DF4-4FFA-964F-8240A349205B}" destId="{B4D2C61E-0454-4486-B25F-24925447351C}" srcOrd="0" destOrd="0" presId="urn:microsoft.com/office/officeart/2005/8/layout/hierarchy4"/>
    <dgm:cxn modelId="{52CDFDA0-3240-4BB6-B238-DAD09B84F09F}" type="presOf" srcId="{2335E1BA-36FE-436D-8EAD-B1AF88E8D455}" destId="{F6755B08-C8EC-42CB-B8D0-571AAD76D5FF}" srcOrd="0" destOrd="0" presId="urn:microsoft.com/office/officeart/2005/8/layout/hierarchy4"/>
    <dgm:cxn modelId="{B85A56F2-F161-4AE8-9EE0-DCE6695B94D2}" srcId="{845E60BC-F718-43AC-9A2F-99F7CB1CFC9D}" destId="{2335E1BA-36FE-436D-8EAD-B1AF88E8D455}" srcOrd="4" destOrd="0" parTransId="{55C4CD54-2F63-41AE-BF0E-3E2B1071CE48}" sibTransId="{F0C65135-15AB-4012-AC73-9F3B0888A6B6}"/>
    <dgm:cxn modelId="{114822E0-E4DC-4B0E-8A3D-F43DCCC4D926}" type="presOf" srcId="{D3FBDEB9-E643-479E-88B0-CE3A922B37AC}" destId="{F140446A-D8BB-46DD-BDD6-1A570A0A48B7}" srcOrd="0" destOrd="0" presId="urn:microsoft.com/office/officeart/2005/8/layout/hierarchy4"/>
    <dgm:cxn modelId="{664CC0E0-3831-4CD6-A31A-97173660CA1D}" srcId="{845E60BC-F718-43AC-9A2F-99F7CB1CFC9D}" destId="{FAC85209-17D5-4538-8836-6B4C207E6C3F}" srcOrd="0" destOrd="0" parTransId="{148E4FBD-E5CC-450F-B3D1-F9F31A20B3F1}" sibTransId="{216865F7-5B19-4F4C-9664-54E4AAE69E9E}"/>
    <dgm:cxn modelId="{96C197F7-1C49-4868-9AF7-29A5D32169D2}" type="presParOf" srcId="{E3D5AC5F-6681-4786-9147-0C3D129AB644}" destId="{25878A5C-FA04-4AB3-B452-D668C78043E5}" srcOrd="0" destOrd="0" presId="urn:microsoft.com/office/officeart/2005/8/layout/hierarchy4"/>
    <dgm:cxn modelId="{68BE0023-3004-43E0-826C-FC8EE2C26EDC}" type="presParOf" srcId="{25878A5C-FA04-4AB3-B452-D668C78043E5}" destId="{F41CBDD7-A3F7-4F81-9017-782FDDFF9C1A}" srcOrd="0" destOrd="0" presId="urn:microsoft.com/office/officeart/2005/8/layout/hierarchy4"/>
    <dgm:cxn modelId="{15C5A40D-1FD4-48B3-9B59-C6868DEBDCE8}" type="presParOf" srcId="{25878A5C-FA04-4AB3-B452-D668C78043E5}" destId="{DB334460-1B43-403C-B885-656DD2C0E372}" srcOrd="1" destOrd="0" presId="urn:microsoft.com/office/officeart/2005/8/layout/hierarchy4"/>
    <dgm:cxn modelId="{61CECAD8-1725-4AC8-AF31-E3605E75430E}" type="presParOf" srcId="{E3D5AC5F-6681-4786-9147-0C3D129AB644}" destId="{AD053612-0AF7-452C-8A79-D3896B3B3443}" srcOrd="1" destOrd="0" presId="urn:microsoft.com/office/officeart/2005/8/layout/hierarchy4"/>
    <dgm:cxn modelId="{7188D954-BCFC-4B9C-8FBF-9BFF49DD8426}" type="presParOf" srcId="{E3D5AC5F-6681-4786-9147-0C3D129AB644}" destId="{42FB2BA3-EFC7-47BE-A679-9AE0A074029C}" srcOrd="2" destOrd="0" presId="urn:microsoft.com/office/officeart/2005/8/layout/hierarchy4"/>
    <dgm:cxn modelId="{CCFE4A03-7FC9-4645-8767-7ED7CDFF56FC}" type="presParOf" srcId="{42FB2BA3-EFC7-47BE-A679-9AE0A074029C}" destId="{F140446A-D8BB-46DD-BDD6-1A570A0A48B7}" srcOrd="0" destOrd="0" presId="urn:microsoft.com/office/officeart/2005/8/layout/hierarchy4"/>
    <dgm:cxn modelId="{8831F6B9-1216-47B8-AC0A-443927A6A042}" type="presParOf" srcId="{42FB2BA3-EFC7-47BE-A679-9AE0A074029C}" destId="{22A0523D-58E4-4577-BBD3-393141183DB6}" srcOrd="1" destOrd="0" presId="urn:microsoft.com/office/officeart/2005/8/layout/hierarchy4"/>
    <dgm:cxn modelId="{19450062-86B5-4409-B03B-0554ADB04B73}" type="presParOf" srcId="{E3D5AC5F-6681-4786-9147-0C3D129AB644}" destId="{CF0243FF-DFD9-4C8B-8018-A561586A4B08}" srcOrd="3" destOrd="0" presId="urn:microsoft.com/office/officeart/2005/8/layout/hierarchy4"/>
    <dgm:cxn modelId="{ACFD9C97-9E4E-4372-8883-E7D56CAC8832}" type="presParOf" srcId="{E3D5AC5F-6681-4786-9147-0C3D129AB644}" destId="{649A3B78-993F-4837-B8D0-B3F4C09D48DA}" srcOrd="4" destOrd="0" presId="urn:microsoft.com/office/officeart/2005/8/layout/hierarchy4"/>
    <dgm:cxn modelId="{B5D2DB61-2649-4473-A28C-8D8EB458AF86}" type="presParOf" srcId="{649A3B78-993F-4837-B8D0-B3F4C09D48DA}" destId="{26FFDDBC-4D2F-4905-8778-D0CB55404D04}" srcOrd="0" destOrd="0" presId="urn:microsoft.com/office/officeart/2005/8/layout/hierarchy4"/>
    <dgm:cxn modelId="{657592D9-E80D-4A29-8071-DBA0B85A13AD}" type="presParOf" srcId="{649A3B78-993F-4837-B8D0-B3F4C09D48DA}" destId="{05266BA8-AD2F-471C-859C-71CB87826D6B}" srcOrd="1" destOrd="0" presId="urn:microsoft.com/office/officeart/2005/8/layout/hierarchy4"/>
    <dgm:cxn modelId="{1E03A5B9-0305-4665-BCE7-85A4FB85BF8C}" type="presParOf" srcId="{E3D5AC5F-6681-4786-9147-0C3D129AB644}" destId="{DCE101CA-27CA-4533-A306-13A49C65382B}" srcOrd="5" destOrd="0" presId="urn:microsoft.com/office/officeart/2005/8/layout/hierarchy4"/>
    <dgm:cxn modelId="{E9F21122-FCA0-4C88-BF6B-55E6623053C3}" type="presParOf" srcId="{E3D5AC5F-6681-4786-9147-0C3D129AB644}" destId="{CADA2373-FD32-46E8-9956-2FAA4C419E26}" srcOrd="6" destOrd="0" presId="urn:microsoft.com/office/officeart/2005/8/layout/hierarchy4"/>
    <dgm:cxn modelId="{05DE490D-3BD9-4A87-B306-AF8AB1F191C9}" type="presParOf" srcId="{CADA2373-FD32-46E8-9956-2FAA4C419E26}" destId="{B4D2C61E-0454-4486-B25F-24925447351C}" srcOrd="0" destOrd="0" presId="urn:microsoft.com/office/officeart/2005/8/layout/hierarchy4"/>
    <dgm:cxn modelId="{288E184C-53E1-44BA-933E-54BE44CF94C7}" type="presParOf" srcId="{CADA2373-FD32-46E8-9956-2FAA4C419E26}" destId="{39BAD1E9-0B25-4078-AC6A-0B03BD51A4C4}" srcOrd="1" destOrd="0" presId="urn:microsoft.com/office/officeart/2005/8/layout/hierarchy4"/>
    <dgm:cxn modelId="{9F435CF4-8D52-40EA-A99B-7DD6460B6892}" type="presParOf" srcId="{E3D5AC5F-6681-4786-9147-0C3D129AB644}" destId="{FC01E836-8040-4FFC-8DF6-51A605901E39}" srcOrd="7" destOrd="0" presId="urn:microsoft.com/office/officeart/2005/8/layout/hierarchy4"/>
    <dgm:cxn modelId="{9D45886C-6118-49C0-89D5-A8BED4550605}" type="presParOf" srcId="{E3D5AC5F-6681-4786-9147-0C3D129AB644}" destId="{058C651C-9273-4D2B-8264-843D21B4F73A}" srcOrd="8" destOrd="0" presId="urn:microsoft.com/office/officeart/2005/8/layout/hierarchy4"/>
    <dgm:cxn modelId="{11AB4CE1-DD40-4583-936C-7D4E1616F003}" type="presParOf" srcId="{058C651C-9273-4D2B-8264-843D21B4F73A}" destId="{F6755B08-C8EC-42CB-B8D0-571AAD76D5FF}" srcOrd="0" destOrd="0" presId="urn:microsoft.com/office/officeart/2005/8/layout/hierarchy4"/>
    <dgm:cxn modelId="{39D583BD-D125-40FB-A765-698BE10BB06C}" type="presParOf" srcId="{058C651C-9273-4D2B-8264-843D21B4F73A}" destId="{37111ED0-B323-45E9-9DE3-AD60E2B5CB60}" srcOrd="1" destOrd="0" presId="urn:microsoft.com/office/officeart/2005/8/layout/hierarchy4"/>
    <dgm:cxn modelId="{C9C3FD39-E5A6-4400-9F52-3129FC2DC4AA}" type="presParOf" srcId="{E3D5AC5F-6681-4786-9147-0C3D129AB644}" destId="{6AF32565-E0AE-4922-9FA6-42B07C824AC4}" srcOrd="9" destOrd="0" presId="urn:microsoft.com/office/officeart/2005/8/layout/hierarchy4"/>
    <dgm:cxn modelId="{25A7C873-090F-435D-9FA2-E2969325F982}" type="presParOf" srcId="{E3D5AC5F-6681-4786-9147-0C3D129AB644}" destId="{AA9B23D6-39D2-4276-8418-EFBA694AD534}" srcOrd="10" destOrd="0" presId="urn:microsoft.com/office/officeart/2005/8/layout/hierarchy4"/>
    <dgm:cxn modelId="{7272E74E-0C04-481C-8921-20D63661C767}" type="presParOf" srcId="{AA9B23D6-39D2-4276-8418-EFBA694AD534}" destId="{8A2DA788-6F84-4CB0-8940-80F7B37EC89C}" srcOrd="0" destOrd="0" presId="urn:microsoft.com/office/officeart/2005/8/layout/hierarchy4"/>
    <dgm:cxn modelId="{0752DCDE-093E-4B72-8371-3EAA7741CE79}" type="presParOf" srcId="{AA9B23D6-39D2-4276-8418-EFBA694AD534}" destId="{DDE1E7BF-F23C-4F08-9C91-B265791AC782}" srcOrd="1" destOrd="0" presId="urn:microsoft.com/office/officeart/2005/8/layout/hierarchy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A4AA0-EFD4-477F-ADD6-014B38511726}">
      <dsp:nvSpPr>
        <dsp:cNvPr id="0" name=""/>
        <dsp:cNvSpPr/>
      </dsp:nvSpPr>
      <dsp:spPr>
        <a:xfrm>
          <a:off x="0" y="0"/>
          <a:ext cx="5481676" cy="7912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pl-PL" sz="2800" kern="1200"/>
            <a:t>Porozumienie gmin </a:t>
          </a:r>
          <a:br>
            <a:rPr lang="pl-PL" sz="2800" kern="1200"/>
          </a:br>
          <a:r>
            <a:rPr lang="pl-PL" sz="2800" kern="1200"/>
            <a:t>ZIELONE ZAGŁĘBIE</a:t>
          </a:r>
        </a:p>
      </dsp:txBody>
      <dsp:txXfrm>
        <a:off x="23174" y="23174"/>
        <a:ext cx="5435328" cy="7448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0A965-68AC-409B-A37C-1A6EE770B80A}">
      <dsp:nvSpPr>
        <dsp:cNvPr id="0" name=""/>
        <dsp:cNvSpPr/>
      </dsp:nvSpPr>
      <dsp:spPr>
        <a:xfrm>
          <a:off x="40942" y="104841"/>
          <a:ext cx="3318987" cy="8482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pl-PL" sz="2400" kern="1200"/>
            <a:t>Strategia Ponadlokalna</a:t>
          </a:r>
        </a:p>
      </dsp:txBody>
      <dsp:txXfrm>
        <a:off x="65786" y="129685"/>
        <a:ext cx="3269299" cy="798551"/>
      </dsp:txXfrm>
    </dsp:sp>
    <dsp:sp modelId="{4C34A831-4322-401B-9054-1A5161907B77}">
      <dsp:nvSpPr>
        <dsp:cNvPr id="0" name=""/>
        <dsp:cNvSpPr/>
      </dsp:nvSpPr>
      <dsp:spPr>
        <a:xfrm>
          <a:off x="3632854" y="0"/>
          <a:ext cx="1851338" cy="1038860"/>
        </a:xfrm>
        <a:prstGeom prst="rightArrow">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 Przedsięwzięcia kluczowe</a:t>
          </a:r>
        </a:p>
        <a:p>
          <a:pPr lvl="0" algn="ctr" defTabSz="400050">
            <a:lnSpc>
              <a:spcPct val="90000"/>
            </a:lnSpc>
            <a:spcBef>
              <a:spcPct val="0"/>
            </a:spcBef>
            <a:spcAft>
              <a:spcPct val="35000"/>
            </a:spcAft>
          </a:pPr>
          <a:r>
            <a:rPr lang="pl-PL" sz="900" b="1" kern="1200"/>
            <a:t>- Projekty partnerskie</a:t>
          </a:r>
        </a:p>
        <a:p>
          <a:pPr lvl="0" algn="ctr" defTabSz="400050">
            <a:lnSpc>
              <a:spcPct val="90000"/>
            </a:lnSpc>
            <a:spcBef>
              <a:spcPct val="0"/>
            </a:spcBef>
            <a:spcAft>
              <a:spcPct val="35000"/>
            </a:spcAft>
          </a:pPr>
          <a:r>
            <a:rPr lang="pl-PL" sz="900" b="1" kern="1200"/>
            <a:t>- Wiązki Projektów</a:t>
          </a:r>
        </a:p>
      </dsp:txBody>
      <dsp:txXfrm>
        <a:off x="3632854" y="259715"/>
        <a:ext cx="1591623" cy="5194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1CBDD7-A3F7-4F81-9017-782FDDFF9C1A}">
      <dsp:nvSpPr>
        <dsp:cNvPr id="0" name=""/>
        <dsp:cNvSpPr/>
      </dsp:nvSpPr>
      <dsp:spPr>
        <a:xfrm>
          <a:off x="983" y="0"/>
          <a:ext cx="683869" cy="7626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Program Rozwoju</a:t>
          </a:r>
        </a:p>
        <a:p>
          <a:pPr lvl="0" algn="ctr" defTabSz="400050">
            <a:lnSpc>
              <a:spcPct val="90000"/>
            </a:lnSpc>
            <a:spcBef>
              <a:spcPct val="0"/>
            </a:spcBef>
            <a:spcAft>
              <a:spcPct val="35000"/>
            </a:spcAft>
          </a:pPr>
          <a:r>
            <a:rPr lang="pl-PL" sz="900" b="1" kern="1200"/>
            <a:t>Puchaczów</a:t>
          </a:r>
        </a:p>
      </dsp:txBody>
      <dsp:txXfrm>
        <a:off x="21013" y="20030"/>
        <a:ext cx="643809" cy="722575"/>
      </dsp:txXfrm>
    </dsp:sp>
    <dsp:sp modelId="{F140446A-D8BB-46DD-BDD6-1A570A0A48B7}">
      <dsp:nvSpPr>
        <dsp:cNvPr id="0" name=""/>
        <dsp:cNvSpPr/>
      </dsp:nvSpPr>
      <dsp:spPr>
        <a:xfrm>
          <a:off x="799743" y="0"/>
          <a:ext cx="683869" cy="7626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Program Rozwoju</a:t>
          </a:r>
        </a:p>
        <a:p>
          <a:pPr lvl="0" algn="ctr" defTabSz="400050">
            <a:lnSpc>
              <a:spcPct val="90000"/>
            </a:lnSpc>
            <a:spcBef>
              <a:spcPct val="0"/>
            </a:spcBef>
            <a:spcAft>
              <a:spcPct val="35000"/>
            </a:spcAft>
          </a:pPr>
          <a:r>
            <a:rPr lang="pl-PL" sz="900" b="1" kern="1200"/>
            <a:t>Cyców</a:t>
          </a:r>
        </a:p>
      </dsp:txBody>
      <dsp:txXfrm>
        <a:off x="819773" y="20030"/>
        <a:ext cx="643809" cy="722575"/>
      </dsp:txXfrm>
    </dsp:sp>
    <dsp:sp modelId="{26FFDDBC-4D2F-4905-8778-D0CB55404D04}">
      <dsp:nvSpPr>
        <dsp:cNvPr id="0" name=""/>
        <dsp:cNvSpPr/>
      </dsp:nvSpPr>
      <dsp:spPr>
        <a:xfrm>
          <a:off x="1598503" y="0"/>
          <a:ext cx="683869" cy="7626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Program Rozwoju</a:t>
          </a:r>
        </a:p>
        <a:p>
          <a:pPr lvl="0" algn="ctr" defTabSz="400050">
            <a:lnSpc>
              <a:spcPct val="90000"/>
            </a:lnSpc>
            <a:spcBef>
              <a:spcPct val="0"/>
            </a:spcBef>
            <a:spcAft>
              <a:spcPct val="35000"/>
            </a:spcAft>
          </a:pPr>
          <a:r>
            <a:rPr lang="pl-PL" sz="900" b="1" kern="1200"/>
            <a:t>Ludwin</a:t>
          </a:r>
        </a:p>
      </dsp:txBody>
      <dsp:txXfrm>
        <a:off x="1618533" y="20030"/>
        <a:ext cx="643809" cy="722575"/>
      </dsp:txXfrm>
    </dsp:sp>
    <dsp:sp modelId="{B4D2C61E-0454-4486-B25F-24925447351C}">
      <dsp:nvSpPr>
        <dsp:cNvPr id="0" name=""/>
        <dsp:cNvSpPr/>
      </dsp:nvSpPr>
      <dsp:spPr>
        <a:xfrm>
          <a:off x="2397263" y="0"/>
          <a:ext cx="683869" cy="7626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Program Rozwoju</a:t>
          </a:r>
        </a:p>
        <a:p>
          <a:pPr lvl="0" algn="ctr" defTabSz="400050">
            <a:lnSpc>
              <a:spcPct val="90000"/>
            </a:lnSpc>
            <a:spcBef>
              <a:spcPct val="0"/>
            </a:spcBef>
            <a:spcAft>
              <a:spcPct val="35000"/>
            </a:spcAft>
          </a:pPr>
          <a:r>
            <a:rPr lang="pl-PL" sz="900" b="1" kern="1200"/>
            <a:t>Milejów</a:t>
          </a:r>
        </a:p>
      </dsp:txBody>
      <dsp:txXfrm>
        <a:off x="2417293" y="20030"/>
        <a:ext cx="643809" cy="722575"/>
      </dsp:txXfrm>
    </dsp:sp>
    <dsp:sp modelId="{F6755B08-C8EC-42CB-B8D0-571AAD76D5FF}">
      <dsp:nvSpPr>
        <dsp:cNvPr id="0" name=""/>
        <dsp:cNvSpPr/>
      </dsp:nvSpPr>
      <dsp:spPr>
        <a:xfrm>
          <a:off x="3196023" y="0"/>
          <a:ext cx="683869" cy="7626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Program Rozwoju</a:t>
          </a:r>
        </a:p>
        <a:p>
          <a:pPr lvl="0" algn="ctr" defTabSz="400050">
            <a:lnSpc>
              <a:spcPct val="90000"/>
            </a:lnSpc>
            <a:spcBef>
              <a:spcPct val="0"/>
            </a:spcBef>
            <a:spcAft>
              <a:spcPct val="35000"/>
            </a:spcAft>
          </a:pPr>
          <a:r>
            <a:rPr lang="pl-PL" sz="900" b="1" kern="1200"/>
            <a:t>Urszulin</a:t>
          </a:r>
        </a:p>
      </dsp:txBody>
      <dsp:txXfrm>
        <a:off x="3216053" y="20030"/>
        <a:ext cx="643809" cy="722575"/>
      </dsp:txXfrm>
    </dsp:sp>
    <dsp:sp modelId="{8A2DA788-6F84-4CB0-8940-80F7B37EC89C}">
      <dsp:nvSpPr>
        <dsp:cNvPr id="0" name=""/>
        <dsp:cNvSpPr/>
      </dsp:nvSpPr>
      <dsp:spPr>
        <a:xfrm>
          <a:off x="3994784" y="0"/>
          <a:ext cx="1491267" cy="762635"/>
        </a:xfrm>
        <a:prstGeom prst="rightArrow">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a:t>- Projekty strategiczne</a:t>
          </a:r>
        </a:p>
        <a:p>
          <a:pPr lvl="0" algn="ctr" defTabSz="400050">
            <a:lnSpc>
              <a:spcPct val="90000"/>
            </a:lnSpc>
            <a:spcBef>
              <a:spcPct val="0"/>
            </a:spcBef>
            <a:spcAft>
              <a:spcPct val="35000"/>
            </a:spcAft>
          </a:pPr>
          <a:r>
            <a:rPr lang="pl-PL" sz="900" b="1" kern="1200"/>
            <a:t>- Projekty indywidualne</a:t>
          </a:r>
        </a:p>
      </dsp:txBody>
      <dsp:txXfrm>
        <a:off x="3994784" y="190659"/>
        <a:ext cx="1300608" cy="3813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A5D39-1B45-40D4-9E7B-BFDE1C654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150</Pages>
  <Words>39841</Words>
  <Characters>239047</Characters>
  <Application>Microsoft Office Word</Application>
  <DocSecurity>0</DocSecurity>
  <Lines>1992</Lines>
  <Paragraphs>556</Paragraphs>
  <ScaleCrop>false</ScaleCrop>
  <HeadingPairs>
    <vt:vector size="2" baseType="variant">
      <vt:variant>
        <vt:lpstr>Tytuł</vt:lpstr>
      </vt:variant>
      <vt:variant>
        <vt:i4>1</vt:i4>
      </vt:variant>
    </vt:vector>
  </HeadingPairs>
  <TitlesOfParts>
    <vt:vector size="1" baseType="lpstr">
      <vt:lpstr>ZIELONE ZAGŁĘBIE - STRATEGIA ROZWOJU PONADLOKALNEGO NA LATA 2021-2027, z perspektywą do 2035 roku</vt:lpstr>
    </vt:vector>
  </TitlesOfParts>
  <Company>Microsoft</Company>
  <LinksUpToDate>false</LinksUpToDate>
  <CharactersWithSpaces>278332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ZIELONE ZAGŁĘBIE - STRATEGIA ROZWOJU PONADLOKALNEGO NA LATA 2021-2027, z perspektywą do 2035 roku</dc:title>
  <dc:creator>Monika Kłos</dc:creator>
  <cp:lastModifiedBy>TomekC</cp:lastModifiedBy>
  <cp:revision>5</cp:revision>
  <cp:lastPrinted>2022-10-17T11:56:00Z</cp:lastPrinted>
  <dcterms:created xsi:type="dcterms:W3CDTF">2022-11-14T07:26:00Z</dcterms:created>
  <dcterms:modified xsi:type="dcterms:W3CDTF">2023-07-25T09:02:00Z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